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2666C" w14:textId="17ED67ED" w:rsidR="001D26F6" w:rsidRPr="001D26F6" w:rsidRDefault="001D26F6" w:rsidP="001D26F6">
      <w:pPr>
        <w:pStyle w:val="3GPPHeader"/>
        <w:rPr>
          <w:szCs w:val="24"/>
        </w:rPr>
      </w:pPr>
      <w:r w:rsidRPr="001D26F6">
        <w:rPr>
          <w:szCs w:val="24"/>
        </w:rPr>
        <w:t>3GPP TSG-RAN WG2 Meeting #132</w:t>
      </w:r>
      <w:r w:rsidRPr="001D26F6">
        <w:rPr>
          <w:szCs w:val="24"/>
        </w:rPr>
        <w:tab/>
        <w:t>R2-250</w:t>
      </w:r>
      <w:r w:rsidR="00793889">
        <w:rPr>
          <w:szCs w:val="24"/>
        </w:rPr>
        <w:t>8580</w:t>
      </w:r>
    </w:p>
    <w:p w14:paraId="4F3B0448" w14:textId="646D36FE" w:rsidR="006779B3" w:rsidRPr="001D26F6" w:rsidRDefault="001D26F6" w:rsidP="001D26F6">
      <w:pPr>
        <w:pStyle w:val="3GPPHeader"/>
        <w:rPr>
          <w:szCs w:val="24"/>
        </w:rPr>
      </w:pPr>
      <w:r w:rsidRPr="001D26F6">
        <w:rPr>
          <w:szCs w:val="24"/>
        </w:rPr>
        <w:t>Dallas, USA, Nov. 17th - 21st</w:t>
      </w:r>
    </w:p>
    <w:p w14:paraId="585A731C" w14:textId="77777777" w:rsidR="001D26F6" w:rsidRPr="006779B3" w:rsidRDefault="001D26F6" w:rsidP="001D26F6">
      <w:pPr>
        <w:pStyle w:val="3GPPHeader"/>
        <w:rPr>
          <w:szCs w:val="24"/>
          <w:lang w:val="en-US"/>
        </w:rPr>
      </w:pPr>
    </w:p>
    <w:p w14:paraId="69025F2B" w14:textId="403F8C2B" w:rsidR="00BF7C7A" w:rsidRPr="00C55210" w:rsidRDefault="00BF7C7A" w:rsidP="00BF7C7A">
      <w:pPr>
        <w:pStyle w:val="3GPPHeader"/>
        <w:rPr>
          <w:szCs w:val="24"/>
        </w:rPr>
      </w:pPr>
      <w:r w:rsidRPr="00C55210">
        <w:rPr>
          <w:szCs w:val="24"/>
        </w:rPr>
        <w:t>Agenda Item:</w:t>
      </w:r>
      <w:r w:rsidRPr="00C55210">
        <w:rPr>
          <w:szCs w:val="24"/>
        </w:rPr>
        <w:tab/>
      </w:r>
      <w:r w:rsidR="00D54202" w:rsidRPr="00D54202">
        <w:rPr>
          <w:rFonts w:hint="eastAsia"/>
          <w:szCs w:val="24"/>
        </w:rPr>
        <w:t>9.3.2</w:t>
      </w:r>
      <w:r w:rsidR="00C46E0F" w:rsidRPr="00D54202">
        <w:rPr>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5022C8EE" w:rsidR="00BF7C7A" w:rsidRPr="00C55210" w:rsidRDefault="00BF7C7A" w:rsidP="00BF7C7A">
      <w:pPr>
        <w:pStyle w:val="3GPPHeader"/>
        <w:rPr>
          <w:szCs w:val="24"/>
        </w:rPr>
      </w:pPr>
      <w:r w:rsidRPr="00C55210">
        <w:rPr>
          <w:szCs w:val="24"/>
        </w:rPr>
        <w:t>Title:</w:t>
      </w:r>
      <w:r w:rsidRPr="00C55210">
        <w:rPr>
          <w:szCs w:val="24"/>
        </w:rPr>
        <w:tab/>
      </w:r>
      <w:bookmarkStart w:id="0" w:name="OLE_LINK83"/>
      <w:bookmarkStart w:id="1" w:name="OLE_LINK14"/>
      <w:bookmarkStart w:id="2" w:name="OLE_LINK27"/>
      <w:r w:rsidR="00CC027C">
        <w:rPr>
          <w:szCs w:val="24"/>
        </w:rPr>
        <w:t xml:space="preserve">Discussion on </w:t>
      </w:r>
      <w:r w:rsidR="00C96394">
        <w:rPr>
          <w:rFonts w:cs="Arial"/>
          <w:szCs w:val="24"/>
        </w:rPr>
        <w:t xml:space="preserve">LCM </w:t>
      </w:r>
      <w:r w:rsidR="00CC027C">
        <w:rPr>
          <w:rFonts w:cs="Arial"/>
          <w:szCs w:val="24"/>
        </w:rPr>
        <w:t>for</w:t>
      </w:r>
      <w:r w:rsidR="005858BC">
        <w:rPr>
          <w:rFonts w:cs="Arial"/>
          <w:szCs w:val="24"/>
        </w:rPr>
        <w:t xml:space="preserve"> </w:t>
      </w:r>
      <w:bookmarkEnd w:id="0"/>
      <w:r w:rsidR="006779B3">
        <w:rPr>
          <w:rFonts w:cs="Arial"/>
          <w:szCs w:val="24"/>
        </w:rPr>
        <w:t xml:space="preserve">RRM </w:t>
      </w:r>
      <w:r w:rsidR="00C96394">
        <w:rPr>
          <w:rFonts w:cs="Arial"/>
          <w:szCs w:val="24"/>
        </w:rPr>
        <w:t>P</w:t>
      </w:r>
      <w:r w:rsidR="006779B3">
        <w:rPr>
          <w:rFonts w:cs="Arial"/>
          <w:szCs w:val="24"/>
        </w:rPr>
        <w:t>rediction</w:t>
      </w:r>
      <w:r w:rsidR="00D0252C" w:rsidRPr="00C55210">
        <w:rPr>
          <w:rFonts w:cs="Arial"/>
          <w:szCs w:val="24"/>
        </w:rPr>
        <w:t xml:space="preserve"> </w:t>
      </w:r>
      <w:bookmarkEnd w:id="1"/>
      <w:r w:rsidR="00C96394">
        <w:rPr>
          <w:rFonts w:cs="Arial"/>
          <w:szCs w:val="24"/>
        </w:rPr>
        <w:t>and Event Prediction</w:t>
      </w:r>
    </w:p>
    <w:bookmarkEnd w:id="2"/>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1"/>
      </w:pPr>
      <w:bookmarkStart w:id="3" w:name="_Ref488331639"/>
      <w:bookmarkStart w:id="4" w:name="OLE_LINK103"/>
      <w:bookmarkStart w:id="5" w:name="OLE_LINK1"/>
      <w:r>
        <w:t>Introduction</w:t>
      </w:r>
      <w:bookmarkStart w:id="6" w:name="OLE_LINK40"/>
      <w:bookmarkStart w:id="7" w:name="OLE_LINK105"/>
      <w:bookmarkEnd w:id="3"/>
    </w:p>
    <w:p w14:paraId="3470300C" w14:textId="5370DD44" w:rsidR="006E74C2" w:rsidRPr="006E74C2" w:rsidRDefault="00FF44B3" w:rsidP="00AD7197">
      <w:pPr>
        <w:spacing w:before="120"/>
        <w:rPr>
          <w:rFonts w:ascii="Times New Roman" w:eastAsiaTheme="minorEastAsia" w:hAnsi="Times New Roman"/>
          <w:sz w:val="22"/>
          <w:szCs w:val="22"/>
          <w:lang w:eastAsia="zh-TW"/>
        </w:rPr>
      </w:pPr>
      <w:bookmarkStart w:id="8" w:name="OLE_LINK54"/>
      <w:bookmarkStart w:id="9" w:name="OLE_LINK3"/>
      <w:bookmarkStart w:id="10" w:name="OLE_LINK41"/>
      <w:r w:rsidRPr="00FF44B3">
        <w:rPr>
          <w:rFonts w:ascii="Times New Roman" w:eastAsiaTheme="minorEastAsia" w:hAnsi="Times New Roman"/>
          <w:sz w:val="22"/>
          <w:szCs w:val="22"/>
          <w:lang w:eastAsia="zh-TW"/>
        </w:rPr>
        <w:t>In this contribution, we discuss the LCM for both RRM prediction and measurement event prediction. The content covers UE capability, applicability report, and inference configuration (including full inference configuration and inference parameters).</w:t>
      </w:r>
      <w:r w:rsidR="00482CD3">
        <w:rPr>
          <w:rFonts w:ascii="Times New Roman" w:eastAsiaTheme="minorEastAsia" w:hAnsi="Times New Roman"/>
          <w:sz w:val="22"/>
          <w:szCs w:val="22"/>
          <w:lang w:eastAsia="zh-TW"/>
        </w:rPr>
        <w:t xml:space="preserve"> We first raise a discussion related to the temporal domain case A, which we think</w:t>
      </w:r>
      <w:r w:rsidR="00922982" w:rsidRPr="00922982">
        <w:rPr>
          <w:rFonts w:ascii="Times New Roman" w:eastAsia="DengXian" w:hAnsi="Times New Roman"/>
          <w:sz w:val="22"/>
          <w:szCs w:val="22"/>
          <w:lang w:val="en-US"/>
        </w:rPr>
        <w:t xml:space="preserve"> </w:t>
      </w:r>
      <w:r w:rsidR="00922982">
        <w:rPr>
          <w:rFonts w:ascii="Times New Roman" w:eastAsia="DengXian" w:hAnsi="Times New Roman"/>
          <w:sz w:val="22"/>
          <w:szCs w:val="22"/>
          <w:lang w:val="en-US"/>
        </w:rPr>
        <w:t>it is recommended that it is supported only within the context of event prediction, rather than as a separate RRM prediction</w:t>
      </w:r>
      <w:r w:rsidR="00482CD3">
        <w:rPr>
          <w:rFonts w:ascii="Times New Roman" w:eastAsiaTheme="minorEastAsia" w:hAnsi="Times New Roman"/>
          <w:sz w:val="22"/>
          <w:szCs w:val="22"/>
          <w:lang w:eastAsia="zh-TW"/>
        </w:rPr>
        <w:t xml:space="preserve">. Then, we discuss the UE capability and </w:t>
      </w:r>
      <w:r w:rsidR="00D53200">
        <w:rPr>
          <w:rFonts w:ascii="Times New Roman" w:eastAsiaTheme="minorEastAsia" w:hAnsi="Times New Roman"/>
          <w:sz w:val="22"/>
          <w:szCs w:val="22"/>
          <w:lang w:eastAsia="zh-TW"/>
        </w:rPr>
        <w:t xml:space="preserve">propose using </w:t>
      </w:r>
      <w:r w:rsidR="00873031">
        <w:rPr>
          <w:rFonts w:ascii="Times New Roman" w:eastAsiaTheme="minorEastAsia" w:hAnsi="Times New Roman"/>
          <w:sz w:val="22"/>
          <w:szCs w:val="22"/>
          <w:lang w:eastAsia="zh-TW"/>
        </w:rPr>
        <w:t>separate</w:t>
      </w:r>
      <w:r w:rsidR="00482CD3">
        <w:rPr>
          <w:rFonts w:ascii="Times New Roman" w:eastAsiaTheme="minorEastAsia" w:hAnsi="Times New Roman"/>
          <w:sz w:val="22"/>
          <w:szCs w:val="22"/>
          <w:lang w:eastAsia="zh-TW"/>
        </w:rPr>
        <w:t xml:space="preserve"> </w:t>
      </w:r>
      <w:r w:rsidR="00D53200">
        <w:rPr>
          <w:rFonts w:ascii="Times New Roman" w:eastAsiaTheme="minorEastAsia" w:hAnsi="Times New Roman"/>
          <w:sz w:val="22"/>
          <w:szCs w:val="22"/>
          <w:lang w:eastAsia="zh-TW"/>
        </w:rPr>
        <w:t>capability bits for different UE capability (respective to three different use cases).</w:t>
      </w:r>
      <w:r w:rsidRPr="00FF44B3">
        <w:rPr>
          <w:rFonts w:ascii="Times New Roman" w:eastAsiaTheme="minorEastAsia" w:hAnsi="Times New Roman"/>
          <w:sz w:val="22"/>
          <w:szCs w:val="22"/>
          <w:lang w:eastAsia="zh-TW"/>
        </w:rPr>
        <w:t xml:space="preserve"> </w:t>
      </w:r>
      <w:r w:rsidR="00D53200">
        <w:rPr>
          <w:rFonts w:ascii="Times New Roman" w:eastAsiaTheme="minorEastAsia" w:hAnsi="Times New Roman"/>
          <w:sz w:val="22"/>
          <w:szCs w:val="22"/>
          <w:lang w:eastAsia="zh-TW"/>
        </w:rPr>
        <w:t>Next d</w:t>
      </w:r>
      <w:r w:rsidRPr="00FF44B3">
        <w:rPr>
          <w:rFonts w:ascii="Times New Roman" w:eastAsiaTheme="minorEastAsia" w:hAnsi="Times New Roman"/>
          <w:sz w:val="22"/>
          <w:szCs w:val="22"/>
          <w:lang w:eastAsia="zh-TW"/>
        </w:rPr>
        <w:t xml:space="preserve">etailed </w:t>
      </w:r>
      <w:r w:rsidR="00D53200">
        <w:rPr>
          <w:rFonts w:ascii="Times New Roman" w:eastAsiaTheme="minorEastAsia" w:hAnsi="Times New Roman"/>
          <w:sz w:val="22"/>
          <w:szCs w:val="22"/>
          <w:lang w:eastAsia="zh-TW"/>
        </w:rPr>
        <w:t xml:space="preserve">full inference </w:t>
      </w:r>
      <w:r w:rsidRPr="00FF44B3">
        <w:rPr>
          <w:rFonts w:ascii="Times New Roman" w:eastAsiaTheme="minorEastAsia" w:hAnsi="Times New Roman"/>
          <w:sz w:val="22"/>
          <w:szCs w:val="22"/>
          <w:lang w:eastAsia="zh-TW"/>
        </w:rPr>
        <w:t xml:space="preserve">configurations and corresponding IEs </w:t>
      </w:r>
      <w:r w:rsidR="00D53200">
        <w:rPr>
          <w:rFonts w:ascii="Times New Roman" w:eastAsiaTheme="minorEastAsia" w:hAnsi="Times New Roman"/>
          <w:sz w:val="22"/>
          <w:szCs w:val="22"/>
          <w:lang w:eastAsia="zh-TW"/>
        </w:rPr>
        <w:t xml:space="preserve">are provided. </w:t>
      </w:r>
      <w:r w:rsidR="00D53200">
        <w:rPr>
          <w:rFonts w:ascii="Times New Roman" w:eastAsiaTheme="minorEastAsia" w:hAnsi="Times New Roman" w:hint="eastAsia"/>
          <w:sz w:val="22"/>
          <w:szCs w:val="22"/>
          <w:lang w:eastAsia="zh-TW"/>
        </w:rPr>
        <w:t>F</w:t>
      </w:r>
      <w:r w:rsidRPr="00FF44B3">
        <w:rPr>
          <w:rFonts w:ascii="Times New Roman" w:eastAsiaTheme="minorEastAsia" w:hAnsi="Times New Roman"/>
          <w:sz w:val="22"/>
          <w:szCs w:val="22"/>
          <w:lang w:eastAsia="zh-TW"/>
        </w:rPr>
        <w:t xml:space="preserve">or applicability </w:t>
      </w:r>
      <w:r w:rsidR="00D53200">
        <w:rPr>
          <w:rFonts w:ascii="Times New Roman" w:eastAsiaTheme="minorEastAsia" w:hAnsi="Times New Roman" w:hint="eastAsia"/>
          <w:sz w:val="22"/>
          <w:szCs w:val="22"/>
          <w:lang w:eastAsia="zh-TW"/>
        </w:rPr>
        <w:t>p</w:t>
      </w:r>
      <w:r w:rsidR="00D53200">
        <w:rPr>
          <w:rFonts w:ascii="Times New Roman" w:eastAsiaTheme="minorEastAsia" w:hAnsi="Times New Roman"/>
          <w:sz w:val="22"/>
          <w:szCs w:val="22"/>
          <w:lang w:eastAsia="zh-TW"/>
        </w:rPr>
        <w:t xml:space="preserve">art, we focus on how to support option B. Applicability </w:t>
      </w:r>
      <w:r w:rsidRPr="00FF44B3">
        <w:rPr>
          <w:rFonts w:ascii="Times New Roman" w:eastAsiaTheme="minorEastAsia" w:hAnsi="Times New Roman"/>
          <w:sz w:val="22"/>
          <w:szCs w:val="22"/>
          <w:lang w:eastAsia="zh-TW"/>
        </w:rPr>
        <w:t>report</w:t>
      </w:r>
      <w:r w:rsidR="00D53200">
        <w:rPr>
          <w:rFonts w:ascii="Times New Roman" w:eastAsiaTheme="minorEastAsia" w:hAnsi="Times New Roman"/>
          <w:sz w:val="22"/>
          <w:szCs w:val="22"/>
          <w:lang w:eastAsia="zh-TW"/>
        </w:rPr>
        <w:t xml:space="preserve"> configuration for both option A and B are then be discussed.</w:t>
      </w:r>
      <w:r w:rsidR="00D53200" w:rsidRPr="00D53200">
        <w:rPr>
          <w:rFonts w:ascii="Times New Roman" w:eastAsiaTheme="minorEastAsia" w:hAnsi="Times New Roman"/>
          <w:sz w:val="22"/>
          <w:szCs w:val="22"/>
          <w:lang w:eastAsia="zh-TW"/>
        </w:rPr>
        <w:t xml:space="preserve"> </w:t>
      </w:r>
      <w:r w:rsidR="00D53200">
        <w:rPr>
          <w:rFonts w:ascii="Times New Roman" w:eastAsiaTheme="minorEastAsia" w:hAnsi="Times New Roman"/>
          <w:sz w:val="22"/>
          <w:szCs w:val="22"/>
          <w:lang w:eastAsia="zh-TW"/>
        </w:rPr>
        <w:t>Additionally, we also propose the UE autonomous fallback mechanism if UE detect inapplicable configuration</w:t>
      </w:r>
      <w:r w:rsidRPr="00FF44B3">
        <w:rPr>
          <w:rFonts w:ascii="Times New Roman" w:eastAsiaTheme="minorEastAsia" w:hAnsi="Times New Roman"/>
          <w:sz w:val="22"/>
          <w:szCs w:val="22"/>
          <w:lang w:eastAsia="zh-TW"/>
        </w:rPr>
        <w:t>. Furthermore, the timing of performing inference is also discussed.</w:t>
      </w:r>
    </w:p>
    <w:p w14:paraId="4C95B59E" w14:textId="5B2ECBD9" w:rsidR="00F608BD" w:rsidRDefault="00BF7C7A" w:rsidP="00047F51">
      <w:pPr>
        <w:pStyle w:val="1"/>
      </w:pPr>
      <w:bookmarkStart w:id="11" w:name="OLE_LINK102"/>
      <w:bookmarkStart w:id="12" w:name="OLE_LINK133"/>
      <w:bookmarkEnd w:id="4"/>
      <w:bookmarkEnd w:id="5"/>
      <w:bookmarkEnd w:id="6"/>
      <w:bookmarkEnd w:id="7"/>
      <w:bookmarkEnd w:id="8"/>
      <w:bookmarkEnd w:id="9"/>
      <w:bookmarkEnd w:id="10"/>
      <w:r>
        <w:t>Discussion</w:t>
      </w:r>
      <w:bookmarkStart w:id="13" w:name="OLE_LINK36"/>
      <w:bookmarkStart w:id="14" w:name="OLE_LINK129"/>
      <w:bookmarkStart w:id="15" w:name="OLE_LINK2"/>
      <w:bookmarkStart w:id="16" w:name="OLE_LINK195"/>
      <w:bookmarkStart w:id="17" w:name="OLE_LINK9"/>
      <w:bookmarkStart w:id="18" w:name="OLE_LINK42"/>
      <w:bookmarkStart w:id="19" w:name="OLE_LINK21"/>
      <w:bookmarkStart w:id="20" w:name="OLE_LINK18"/>
      <w:bookmarkStart w:id="21" w:name="OLE_LINK35"/>
      <w:bookmarkStart w:id="22" w:name="OLE_LINK90"/>
      <w:bookmarkStart w:id="23" w:name="OLE_LINK201"/>
      <w:bookmarkStart w:id="24" w:name="OLE_LINK188"/>
      <w:bookmarkStart w:id="25" w:name="OLE_LINK151"/>
      <w:bookmarkEnd w:id="11"/>
      <w:bookmarkEnd w:id="12"/>
    </w:p>
    <w:p w14:paraId="3582FAFC" w14:textId="77777777" w:rsidR="006E74C2" w:rsidRDefault="006E74C2" w:rsidP="006E74C2">
      <w:pPr>
        <w:pStyle w:val="2"/>
        <w:tabs>
          <w:tab w:val="num" w:pos="576"/>
        </w:tabs>
      </w:pPr>
      <w:r>
        <w:t>Temporal case A for event prediction</w:t>
      </w:r>
    </w:p>
    <w:p w14:paraId="7CE36C3C" w14:textId="77777777" w:rsidR="006E74C2" w:rsidRDefault="006E74C2" w:rsidP="006E74C2">
      <w:pPr>
        <w:rPr>
          <w:rFonts w:ascii="Times New Roman" w:eastAsia="DengXian" w:hAnsi="Times New Roman"/>
          <w:sz w:val="22"/>
          <w:szCs w:val="22"/>
          <w:lang w:val="en-US"/>
        </w:rPr>
      </w:pPr>
      <w:r>
        <w:rPr>
          <w:rFonts w:ascii="Times New Roman" w:eastAsia="DengXian" w:hAnsi="Times New Roman"/>
          <w:sz w:val="22"/>
          <w:szCs w:val="22"/>
          <w:lang w:val="en-US"/>
        </w:rPr>
        <w:t>AI mobility encompasses a variety of use cases, including RRM prediction (such as temporal case A, case B, and inter-frequency prediction) and measurement event prediction (both direct and indirect). However, for temporal case A, it is recommended that it is supported only within the context of event prediction, rather than as a separate RRM prediction use case for following reasons:</w:t>
      </w:r>
      <w:r>
        <w:rPr>
          <w:rFonts w:ascii="Roboto" w:hAnsi="Roboto"/>
          <w:lang w:val="en-US"/>
        </w:rPr>
        <w:t xml:space="preserve"> </w:t>
      </w:r>
    </w:p>
    <w:p w14:paraId="3BBC4012" w14:textId="77777777" w:rsidR="006E74C2" w:rsidRDefault="006E74C2" w:rsidP="006E74C2">
      <w:pPr>
        <w:pStyle w:val="af0"/>
        <w:numPr>
          <w:ilvl w:val="0"/>
          <w:numId w:val="79"/>
        </w:numPr>
        <w:ind w:leftChars="0"/>
        <w:rPr>
          <w:rFonts w:ascii="Times New Roman" w:eastAsia="DengXian" w:hAnsi="Times New Roman"/>
          <w:sz w:val="22"/>
          <w:szCs w:val="22"/>
          <w:lang w:val="en-US"/>
        </w:rPr>
      </w:pPr>
      <w:r>
        <w:rPr>
          <w:rFonts w:ascii="Times New Roman" w:eastAsia="DengXian" w:hAnsi="Times New Roman"/>
          <w:sz w:val="22"/>
          <w:szCs w:val="22"/>
          <w:lang w:val="en-US"/>
        </w:rPr>
        <w:t>Evaluation of RAN2 showed that RRM measurement prediction (temporal case A) reporting to the network solely for early synchronization or preparation (HO modeling option 1 in event prediction) yields only limited performance gain.</w:t>
      </w:r>
    </w:p>
    <w:p w14:paraId="3FF2B932" w14:textId="77777777" w:rsidR="006E74C2" w:rsidRDefault="006E74C2" w:rsidP="006E74C2">
      <w:pPr>
        <w:pStyle w:val="af0"/>
        <w:numPr>
          <w:ilvl w:val="0"/>
          <w:numId w:val="80"/>
        </w:numPr>
        <w:ind w:leftChars="0"/>
        <w:rPr>
          <w:rFonts w:ascii="Times New Roman" w:eastAsia="DengXian" w:hAnsi="Times New Roman"/>
          <w:sz w:val="22"/>
          <w:szCs w:val="22"/>
          <w:lang w:val="en-US"/>
        </w:rPr>
      </w:pPr>
      <w:r>
        <w:rPr>
          <w:rFonts w:ascii="Times New Roman" w:eastAsia="DengXian" w:hAnsi="Times New Roman"/>
          <w:sz w:val="22"/>
          <w:szCs w:val="22"/>
          <w:lang w:val="en-US"/>
        </w:rPr>
        <w:t>After an event trigger is predicted, the predicted values naturally follow the trend of the event, if the UE is required to report both prediction results/measurement reports and actual measurement results, it introduces additional signaling overhead without delivering meaningful new information.</w:t>
      </w:r>
    </w:p>
    <w:p w14:paraId="5DB79804" w14:textId="77777777" w:rsidR="006E74C2" w:rsidRDefault="006E74C2" w:rsidP="006E74C2">
      <w:pPr>
        <w:pStyle w:val="af0"/>
        <w:numPr>
          <w:ilvl w:val="0"/>
          <w:numId w:val="80"/>
        </w:numPr>
        <w:ind w:leftChars="0"/>
        <w:rPr>
          <w:rFonts w:ascii="Times New Roman" w:eastAsia="DengXian" w:hAnsi="Times New Roman"/>
          <w:sz w:val="22"/>
          <w:szCs w:val="22"/>
          <w:lang w:val="en-US"/>
        </w:rPr>
      </w:pPr>
      <w:r>
        <w:rPr>
          <w:rFonts w:ascii="Times New Roman" w:eastAsia="DengXian" w:hAnsi="Times New Roman"/>
          <w:sz w:val="22"/>
          <w:szCs w:val="22"/>
          <w:lang w:val="en-US"/>
        </w:rPr>
        <w:t xml:space="preserve">It is unclear how the network utilizes that information for handover decision, which is different from current network implementation. </w:t>
      </w:r>
    </w:p>
    <w:p w14:paraId="17D2F4A9" w14:textId="13EFCBE1" w:rsidR="006E74C2" w:rsidRPr="006E74C2" w:rsidRDefault="006E74C2" w:rsidP="006E74C2">
      <w:pPr>
        <w:rPr>
          <w:rFonts w:ascii="Times New Roman" w:eastAsia="DengXian" w:hAnsi="Times New Roman"/>
          <w:b/>
          <w:bCs/>
          <w:sz w:val="22"/>
          <w:szCs w:val="22"/>
          <w:lang w:val="en-US"/>
        </w:rPr>
      </w:pPr>
      <w:r>
        <w:rPr>
          <w:rFonts w:ascii="Times New Roman" w:eastAsia="DengXian" w:hAnsi="Times New Roman"/>
          <w:b/>
          <w:bCs/>
          <w:sz w:val="22"/>
          <w:szCs w:val="22"/>
          <w:lang w:val="en-US"/>
        </w:rPr>
        <w:lastRenderedPageBreak/>
        <w:t>Proposal 1: Temporal case A is not supported as a separate RRM measurement prediction use case. Temporal case A is by default supported for measurement event prediction.</w:t>
      </w:r>
    </w:p>
    <w:p w14:paraId="528A9F9A" w14:textId="77777777" w:rsidR="006E74C2" w:rsidRDefault="006E74C2" w:rsidP="006E74C2">
      <w:pPr>
        <w:pStyle w:val="2"/>
        <w:tabs>
          <w:tab w:val="num" w:pos="576"/>
        </w:tabs>
      </w:pPr>
      <w:r>
        <w:t xml:space="preserve">UE Capability </w:t>
      </w:r>
    </w:p>
    <w:p w14:paraId="2B19C89D" w14:textId="77777777" w:rsidR="006E74C2" w:rsidRDefault="006E74C2" w:rsidP="006E74C2">
      <w:pPr>
        <w:rPr>
          <w:rFonts w:ascii="Times New Roman" w:eastAsia="DengXian" w:hAnsi="Times New Roman"/>
          <w:sz w:val="22"/>
          <w:szCs w:val="22"/>
          <w:lang w:val="en-US"/>
        </w:rPr>
      </w:pPr>
      <w:r>
        <w:rPr>
          <w:rFonts w:ascii="Times New Roman" w:eastAsia="DengXian" w:hAnsi="Times New Roman"/>
          <w:sz w:val="22"/>
          <w:szCs w:val="22"/>
          <w:lang w:val="en-US"/>
        </w:rPr>
        <w:t>Based on the discussion above, temporal case A is by default supported only for measurement event prediction and does not require separate support for RRM measurement prediction. Accordingly, we propose that UE capabilities for temporal prediction (case B), frequency prediction, and event prediction (case A) be represented by three distinct capability bits: one for RRM temporal domain case B, one for RRM inter-frequency prediction, and one for measurement event prediction (which includes temporal domain case A).</w:t>
      </w:r>
    </w:p>
    <w:p w14:paraId="1731F792" w14:textId="0F7D4806" w:rsidR="006E74C2" w:rsidRDefault="006E74C2" w:rsidP="006E74C2">
      <w:pPr>
        <w:rPr>
          <w:rFonts w:ascii="Times New Roman" w:eastAsia="DengXian" w:hAnsi="Times New Roman"/>
          <w:sz w:val="22"/>
          <w:szCs w:val="22"/>
          <w:lang w:val="en-US"/>
        </w:rPr>
      </w:pPr>
      <w:r>
        <w:rPr>
          <w:rFonts w:ascii="Times New Roman" w:eastAsiaTheme="minorEastAsia" w:hAnsi="Times New Roman"/>
          <w:b/>
          <w:bCs/>
          <w:sz w:val="22"/>
          <w:szCs w:val="22"/>
          <w:lang w:val="en-US" w:eastAsia="zh-TW"/>
        </w:rPr>
        <w:t xml:space="preserve">Proposal 2: RAN2 consider </w:t>
      </w:r>
      <w:r w:rsidR="00873031">
        <w:rPr>
          <w:rFonts w:ascii="Times New Roman" w:eastAsiaTheme="minorEastAsia" w:hAnsi="Times New Roman"/>
          <w:b/>
          <w:bCs/>
          <w:sz w:val="22"/>
          <w:szCs w:val="22"/>
          <w:lang w:val="en-US" w:eastAsia="zh-TW"/>
        </w:rPr>
        <w:t>separate</w:t>
      </w:r>
      <w:r>
        <w:rPr>
          <w:rFonts w:ascii="Times New Roman" w:eastAsiaTheme="minorEastAsia" w:hAnsi="Times New Roman"/>
          <w:b/>
          <w:bCs/>
          <w:sz w:val="22"/>
          <w:szCs w:val="22"/>
          <w:lang w:val="en-US" w:eastAsia="zh-TW"/>
        </w:rPr>
        <w:t xml:space="preserve"> capability bits to indicate UE capability for (1) RRM temporal domain case B (2) RRM inter-</w:t>
      </w:r>
      <w:proofErr w:type="spellStart"/>
      <w:r>
        <w:rPr>
          <w:rFonts w:ascii="Times New Roman" w:eastAsiaTheme="minorEastAsia" w:hAnsi="Times New Roman"/>
          <w:b/>
          <w:bCs/>
          <w:sz w:val="22"/>
          <w:szCs w:val="22"/>
          <w:lang w:val="en-US" w:eastAsia="zh-TW"/>
        </w:rPr>
        <w:t>freq</w:t>
      </w:r>
      <w:proofErr w:type="spellEnd"/>
      <w:r>
        <w:rPr>
          <w:rFonts w:ascii="Times New Roman" w:eastAsiaTheme="minorEastAsia" w:hAnsi="Times New Roman"/>
          <w:b/>
          <w:bCs/>
          <w:sz w:val="22"/>
          <w:szCs w:val="22"/>
          <w:lang w:val="en-US" w:eastAsia="zh-TW"/>
        </w:rPr>
        <w:t xml:space="preserve"> prediction (3) measurement event prediction (including temporal case A). </w:t>
      </w:r>
    </w:p>
    <w:p w14:paraId="72F348EB" w14:textId="77777777" w:rsidR="006E74C2" w:rsidRDefault="006E74C2" w:rsidP="006E74C2">
      <w:pPr>
        <w:rPr>
          <w:rFonts w:ascii="Times New Roman" w:eastAsia="DengXian" w:hAnsi="Times New Roman"/>
          <w:sz w:val="22"/>
          <w:szCs w:val="22"/>
          <w:lang w:val="en-US"/>
        </w:rPr>
      </w:pPr>
      <w:r>
        <w:rPr>
          <w:rFonts w:ascii="Times New Roman" w:eastAsia="DengXian" w:hAnsi="Times New Roman"/>
          <w:sz w:val="22"/>
          <w:szCs w:val="22"/>
          <w:lang w:val="en-US"/>
        </w:rPr>
        <w:t xml:space="preserve">For the capability enquiry and report, referring to the AI BM, the UE can report the corresponding capabilities through the </w:t>
      </w:r>
      <w:r>
        <w:rPr>
          <w:rFonts w:ascii="Times New Roman" w:eastAsia="DengXian" w:hAnsi="Times New Roman"/>
          <w:i/>
          <w:iCs/>
          <w:sz w:val="22"/>
          <w:szCs w:val="22"/>
          <w:lang w:val="en-US"/>
        </w:rPr>
        <w:t>UE-NR-Capability</w:t>
      </w:r>
      <w:r>
        <w:rPr>
          <w:rFonts w:ascii="Times New Roman" w:eastAsia="DengXian" w:hAnsi="Times New Roman"/>
          <w:sz w:val="22"/>
          <w:szCs w:val="22"/>
          <w:lang w:val="en-US"/>
        </w:rPr>
        <w:t xml:space="preserve">. For AI BM case, the capability indication bit is carried in </w:t>
      </w:r>
      <w:proofErr w:type="spellStart"/>
      <w:r>
        <w:rPr>
          <w:rFonts w:ascii="Times New Roman" w:eastAsia="DengXian" w:hAnsi="Times New Roman"/>
          <w:i/>
          <w:iCs/>
          <w:sz w:val="22"/>
          <w:szCs w:val="22"/>
          <w:lang w:val="en-US"/>
        </w:rPr>
        <w:t>Phy</w:t>
      </w:r>
      <w:proofErr w:type="spellEnd"/>
      <w:r>
        <w:rPr>
          <w:rFonts w:ascii="Times New Roman" w:eastAsia="DengXian" w:hAnsi="Times New Roman"/>
          <w:i/>
          <w:iCs/>
          <w:sz w:val="22"/>
          <w:szCs w:val="22"/>
          <w:lang w:val="en-US"/>
        </w:rPr>
        <w:t>-Parameters/</w:t>
      </w:r>
      <w:proofErr w:type="spellStart"/>
      <w:r>
        <w:rPr>
          <w:rFonts w:ascii="Times New Roman" w:eastAsia="DengXian" w:hAnsi="Times New Roman"/>
          <w:i/>
          <w:iCs/>
          <w:sz w:val="22"/>
          <w:szCs w:val="22"/>
          <w:lang w:val="en-US"/>
        </w:rPr>
        <w:t>Phy-ParametersCommon</w:t>
      </w:r>
      <w:proofErr w:type="spellEnd"/>
      <w:r>
        <w:rPr>
          <w:rFonts w:ascii="Times New Roman" w:eastAsia="DengXian" w:hAnsi="Times New Roman"/>
          <w:i/>
          <w:iCs/>
          <w:sz w:val="22"/>
          <w:szCs w:val="22"/>
          <w:lang w:val="en-US"/>
        </w:rPr>
        <w:t>/aiml-BM-Case1-r19</w:t>
      </w:r>
      <w:r>
        <w:rPr>
          <w:i/>
          <w:iCs/>
        </w:rPr>
        <w:t>/</w:t>
      </w:r>
      <w:r>
        <w:rPr>
          <w:rFonts w:ascii="Times New Roman" w:eastAsia="DengXian" w:hAnsi="Times New Roman"/>
          <w:i/>
          <w:iCs/>
          <w:sz w:val="22"/>
          <w:szCs w:val="22"/>
          <w:lang w:val="en-US"/>
        </w:rPr>
        <w:t xml:space="preserve">aiml-BM-Case2-r19. </w:t>
      </w:r>
      <w:r>
        <w:rPr>
          <w:rFonts w:ascii="Times New Roman" w:eastAsia="DengXian" w:hAnsi="Times New Roman"/>
          <w:sz w:val="22"/>
          <w:szCs w:val="22"/>
          <w:lang w:val="en-US"/>
        </w:rPr>
        <w:t xml:space="preserve">As there is no observed reason why this capability indication method would not be feasible for AI mobility use cases, we propose the AI mobility related capability bits can be carried in </w:t>
      </w:r>
      <w:proofErr w:type="spellStart"/>
      <w:r>
        <w:rPr>
          <w:rFonts w:ascii="Times New Roman" w:eastAsia="DengXian" w:hAnsi="Times New Roman"/>
          <w:i/>
          <w:iCs/>
          <w:sz w:val="22"/>
          <w:szCs w:val="22"/>
          <w:lang w:val="en-US"/>
        </w:rPr>
        <w:t>measAndMobParameters</w:t>
      </w:r>
      <w:proofErr w:type="spellEnd"/>
      <w:r>
        <w:rPr>
          <w:rFonts w:ascii="Times New Roman" w:eastAsia="DengXian" w:hAnsi="Times New Roman"/>
          <w:i/>
          <w:iCs/>
          <w:sz w:val="22"/>
          <w:szCs w:val="22"/>
          <w:lang w:val="en-US"/>
        </w:rPr>
        <w:t>/</w:t>
      </w:r>
      <w:proofErr w:type="spellStart"/>
      <w:r>
        <w:rPr>
          <w:rFonts w:ascii="Times New Roman" w:eastAsia="DengXian" w:hAnsi="Times New Roman"/>
          <w:i/>
          <w:iCs/>
          <w:sz w:val="22"/>
          <w:szCs w:val="22"/>
          <w:lang w:val="en-US"/>
        </w:rPr>
        <w:t>MeasAndMobParametersCommon</w:t>
      </w:r>
      <w:proofErr w:type="spellEnd"/>
      <w:r>
        <w:rPr>
          <w:rFonts w:ascii="Times New Roman" w:eastAsia="DengXian" w:hAnsi="Times New Roman"/>
          <w:sz w:val="22"/>
          <w:szCs w:val="22"/>
          <w:lang w:val="en-US"/>
        </w:rPr>
        <w:t xml:space="preserve"> as shown below in T</w:t>
      </w:r>
      <w:r>
        <w:rPr>
          <w:rFonts w:ascii="Times New Roman" w:eastAsiaTheme="minorEastAsia" w:hAnsi="Times New Roman"/>
          <w:sz w:val="22"/>
          <w:szCs w:val="22"/>
          <w:lang w:val="en-US" w:eastAsia="zh-TW"/>
        </w:rPr>
        <w:t xml:space="preserve">S </w:t>
      </w:r>
      <w:r>
        <w:rPr>
          <w:rFonts w:ascii="Times New Roman" w:eastAsia="DengXian" w:hAnsi="Times New Roman"/>
          <w:sz w:val="22"/>
          <w:szCs w:val="22"/>
          <w:lang w:val="en-US"/>
        </w:rPr>
        <w:t>38.331.</w:t>
      </w:r>
    </w:p>
    <w:p w14:paraId="68267AC5" w14:textId="129B7B48" w:rsidR="00521153" w:rsidRDefault="00521153" w:rsidP="00521153">
      <w:pPr>
        <w:jc w:val="center"/>
      </w:pPr>
      <w:r>
        <w:rPr>
          <w:noProof/>
        </w:rPr>
        <w:drawing>
          <wp:inline distT="0" distB="0" distL="0" distR="0" wp14:anchorId="155B3C56" wp14:editId="67B7D60C">
            <wp:extent cx="3848100" cy="1133475"/>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8100" cy="1133475"/>
                    </a:xfrm>
                    <a:prstGeom prst="rect">
                      <a:avLst/>
                    </a:prstGeom>
                    <a:noFill/>
                    <a:ln>
                      <a:noFill/>
                    </a:ln>
                  </pic:spPr>
                </pic:pic>
              </a:graphicData>
            </a:graphic>
          </wp:inline>
        </w:drawing>
      </w:r>
    </w:p>
    <w:p w14:paraId="5A60D8F9" w14:textId="35FC6C98" w:rsidR="00521153" w:rsidRPr="00521153" w:rsidRDefault="00521153" w:rsidP="00521153">
      <w:pPr>
        <w:jc w:val="center"/>
        <w:rPr>
          <w:rFonts w:ascii="Arial Unicode MS" w:eastAsia="Arial Unicode MS" w:hAnsi="Arial Unicode MS" w:cs="Arial Unicode MS"/>
          <w:b/>
          <w:bCs/>
        </w:rPr>
      </w:pPr>
      <w:r w:rsidRPr="00521153">
        <w:rPr>
          <w:rFonts w:ascii="Arial Unicode MS" w:eastAsia="Arial Unicode MS" w:hAnsi="Arial Unicode MS" w:cs="Arial Unicode MS"/>
          <w:b/>
          <w:bCs/>
        </w:rPr>
        <w:t>Figure 1: TS38.331 UE-NR-Capability</w:t>
      </w:r>
    </w:p>
    <w:p w14:paraId="4648293D" w14:textId="3D897F1E" w:rsidR="00521153" w:rsidRPr="00521153" w:rsidRDefault="00521153" w:rsidP="006E74C2">
      <w:pPr>
        <w:rPr>
          <w:rFonts w:ascii="Times New Roman" w:eastAsia="DengXian" w:hAnsi="Times New Roman"/>
          <w:sz w:val="22"/>
          <w:szCs w:val="22"/>
          <w:lang w:val="en-US"/>
        </w:rPr>
      </w:pPr>
      <w:r>
        <w:rPr>
          <w:rFonts w:ascii="Times New Roman" w:eastAsiaTheme="minorEastAsia" w:hAnsi="Times New Roman"/>
          <w:b/>
          <w:bCs/>
          <w:sz w:val="22"/>
          <w:szCs w:val="22"/>
          <w:lang w:val="en-US" w:eastAsia="zh-TW"/>
        </w:rPr>
        <w:t xml:space="preserve">Proposal </w:t>
      </w:r>
      <w:r>
        <w:rPr>
          <w:rFonts w:ascii="Times New Roman" w:eastAsia="DengXian" w:hAnsi="Times New Roman"/>
          <w:b/>
          <w:bCs/>
          <w:sz w:val="22"/>
          <w:szCs w:val="22"/>
          <w:lang w:val="en-US"/>
        </w:rPr>
        <w:t>3</w:t>
      </w:r>
      <w:r>
        <w:rPr>
          <w:rFonts w:ascii="Times New Roman" w:eastAsiaTheme="minorEastAsia" w:hAnsi="Times New Roman"/>
          <w:b/>
          <w:bCs/>
          <w:sz w:val="22"/>
          <w:szCs w:val="22"/>
          <w:lang w:val="en-US" w:eastAsia="zh-TW"/>
        </w:rPr>
        <w:t xml:space="preserve">: </w:t>
      </w:r>
      <w:r>
        <w:rPr>
          <w:rFonts w:ascii="Times New Roman" w:eastAsia="DengXian" w:hAnsi="Times New Roman"/>
          <w:b/>
          <w:bCs/>
          <w:sz w:val="22"/>
          <w:szCs w:val="22"/>
          <w:lang w:val="en-US"/>
        </w:rPr>
        <w:t xml:space="preserve">The </w:t>
      </w:r>
      <w:r>
        <w:rPr>
          <w:rFonts w:ascii="Times New Roman" w:eastAsiaTheme="minorEastAsia" w:hAnsi="Times New Roman"/>
          <w:b/>
          <w:bCs/>
          <w:sz w:val="22"/>
          <w:szCs w:val="22"/>
          <w:lang w:val="en-US" w:eastAsia="zh-TW"/>
        </w:rPr>
        <w:t>UE report</w:t>
      </w:r>
      <w:r>
        <w:rPr>
          <w:rFonts w:ascii="Times New Roman" w:eastAsia="DengXian" w:hAnsi="Times New Roman"/>
          <w:b/>
          <w:bCs/>
          <w:sz w:val="22"/>
          <w:szCs w:val="22"/>
          <w:lang w:val="en-US"/>
        </w:rPr>
        <w:t>s</w:t>
      </w:r>
      <w:r>
        <w:rPr>
          <w:rFonts w:ascii="Times New Roman" w:eastAsiaTheme="minorEastAsia" w:hAnsi="Times New Roman"/>
          <w:b/>
          <w:bCs/>
          <w:sz w:val="22"/>
          <w:szCs w:val="22"/>
          <w:lang w:val="en-US" w:eastAsia="zh-TW"/>
        </w:rPr>
        <w:t xml:space="preserve"> </w:t>
      </w:r>
      <w:r>
        <w:rPr>
          <w:rFonts w:ascii="Times New Roman" w:eastAsia="DengXian" w:hAnsi="Times New Roman"/>
          <w:b/>
          <w:bCs/>
          <w:sz w:val="22"/>
          <w:szCs w:val="22"/>
          <w:lang w:val="en-US"/>
        </w:rPr>
        <w:t>AI MOB related</w:t>
      </w:r>
      <w:r>
        <w:rPr>
          <w:rFonts w:ascii="Times New Roman" w:eastAsiaTheme="minorEastAsia" w:hAnsi="Times New Roman"/>
          <w:b/>
          <w:bCs/>
          <w:sz w:val="22"/>
          <w:szCs w:val="22"/>
          <w:lang w:val="en-US" w:eastAsia="zh-TW"/>
        </w:rPr>
        <w:t xml:space="preserve"> capability to </w:t>
      </w:r>
      <w:r>
        <w:rPr>
          <w:rFonts w:ascii="Times New Roman" w:eastAsia="DengXian" w:hAnsi="Times New Roman"/>
          <w:b/>
          <w:bCs/>
          <w:sz w:val="22"/>
          <w:szCs w:val="22"/>
          <w:lang w:val="en-US"/>
        </w:rPr>
        <w:t xml:space="preserve">the </w:t>
      </w:r>
      <w:r>
        <w:rPr>
          <w:rFonts w:ascii="Times New Roman" w:eastAsiaTheme="minorEastAsia" w:hAnsi="Times New Roman"/>
          <w:b/>
          <w:bCs/>
          <w:sz w:val="22"/>
          <w:szCs w:val="22"/>
          <w:lang w:val="en-US" w:eastAsia="zh-TW"/>
        </w:rPr>
        <w:t xml:space="preserve">NW via </w:t>
      </w:r>
      <w:proofErr w:type="spellStart"/>
      <w:r>
        <w:rPr>
          <w:rFonts w:ascii="Times New Roman" w:eastAsia="DengXian" w:hAnsi="Times New Roman"/>
          <w:b/>
          <w:bCs/>
          <w:i/>
          <w:iCs/>
          <w:sz w:val="22"/>
          <w:szCs w:val="22"/>
          <w:lang w:val="en-US"/>
        </w:rPr>
        <w:t>measAndMobParameters</w:t>
      </w:r>
      <w:proofErr w:type="spellEnd"/>
      <w:r>
        <w:rPr>
          <w:rFonts w:ascii="Times New Roman" w:eastAsia="DengXian" w:hAnsi="Times New Roman"/>
          <w:b/>
          <w:bCs/>
          <w:i/>
          <w:iCs/>
          <w:sz w:val="22"/>
          <w:szCs w:val="22"/>
          <w:lang w:val="en-US"/>
        </w:rPr>
        <w:t>/</w:t>
      </w:r>
      <w:proofErr w:type="spellStart"/>
      <w:r>
        <w:rPr>
          <w:rFonts w:ascii="Times New Roman" w:eastAsia="DengXian" w:hAnsi="Times New Roman"/>
          <w:b/>
          <w:bCs/>
          <w:i/>
          <w:iCs/>
          <w:sz w:val="22"/>
          <w:szCs w:val="22"/>
          <w:lang w:val="en-US"/>
        </w:rPr>
        <w:t>MeasAndMobParametersCommon</w:t>
      </w:r>
      <w:proofErr w:type="spellEnd"/>
      <w:r>
        <w:rPr>
          <w:rFonts w:ascii="Times New Roman" w:eastAsia="DengXian" w:hAnsi="Times New Roman"/>
          <w:b/>
          <w:bCs/>
          <w:i/>
          <w:iCs/>
          <w:sz w:val="22"/>
          <w:szCs w:val="22"/>
          <w:lang w:val="en-US"/>
        </w:rPr>
        <w:t xml:space="preserve"> </w:t>
      </w:r>
      <w:r>
        <w:rPr>
          <w:rFonts w:ascii="Times New Roman" w:eastAsia="DengXian" w:hAnsi="Times New Roman"/>
          <w:b/>
          <w:bCs/>
          <w:sz w:val="22"/>
          <w:szCs w:val="22"/>
          <w:lang w:val="en-US"/>
        </w:rPr>
        <w:t>in</w:t>
      </w:r>
      <w:r>
        <w:rPr>
          <w:rFonts w:ascii="Times New Roman" w:eastAsia="DengXian" w:hAnsi="Times New Roman"/>
          <w:b/>
          <w:bCs/>
          <w:i/>
          <w:iCs/>
          <w:sz w:val="22"/>
          <w:szCs w:val="22"/>
          <w:lang w:val="en-US"/>
        </w:rPr>
        <w:t xml:space="preserve"> UE-NR-Capability.</w:t>
      </w:r>
    </w:p>
    <w:p w14:paraId="58F3FF52" w14:textId="3BEF09B2" w:rsidR="0045535A" w:rsidRDefault="0045535A" w:rsidP="0045535A">
      <w:pPr>
        <w:pStyle w:val="2"/>
        <w:tabs>
          <w:tab w:val="num" w:pos="576"/>
        </w:tabs>
      </w:pPr>
      <w:bookmarkStart w:id="26" w:name="OLE_LINK65"/>
      <w:bookmarkEnd w:id="13"/>
      <w:r>
        <w:t>Inference configuration</w:t>
      </w:r>
    </w:p>
    <w:p w14:paraId="6EAD24DA" w14:textId="77777777" w:rsidR="0045535A" w:rsidRDefault="0045535A" w:rsidP="0045535A">
      <w:pPr>
        <w:rPr>
          <w:rFonts w:ascii="Times New Roman" w:eastAsiaTheme="minorEastAsia" w:hAnsi="Times New Roman"/>
          <w:sz w:val="22"/>
          <w:szCs w:val="22"/>
          <w:lang w:eastAsia="zh-TW"/>
        </w:rPr>
      </w:pPr>
      <w:bookmarkStart w:id="27" w:name="OLE_LINK88"/>
      <w:bookmarkStart w:id="28" w:name="OLE_LINK87"/>
      <w:r>
        <w:rPr>
          <w:rFonts w:ascii="Times New Roman" w:eastAsiaTheme="minorEastAsia" w:hAnsi="Times New Roman"/>
          <w:sz w:val="22"/>
          <w:szCs w:val="22"/>
          <w:lang w:eastAsia="zh-TW"/>
        </w:rPr>
        <w:t xml:space="preserve">RAN2 has agreed to reuse the legacy RRM measurement configuration framework as the baseline for AI mobility inference configuration. The legacy RRM measurement configuration contains the information for measurement objects and measurement reports. Here we list the related components for the AI mobility inference configuration as follows.  </w:t>
      </w:r>
    </w:p>
    <w:p w14:paraId="036BBE0E" w14:textId="77777777" w:rsidR="0045535A" w:rsidRDefault="0045535A" w:rsidP="0045535A">
      <w:pPr>
        <w:pStyle w:val="af0"/>
        <w:numPr>
          <w:ilvl w:val="0"/>
          <w:numId w:val="63"/>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Measurement object (MO) </w:t>
      </w:r>
    </w:p>
    <w:p w14:paraId="5766C021" w14:textId="77777777" w:rsidR="0045535A" w:rsidRDefault="0045535A" w:rsidP="0045535A">
      <w:pPr>
        <w:pStyle w:val="af0"/>
        <w:numPr>
          <w:ilvl w:val="0"/>
          <w:numId w:val="63"/>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Report configuration </w:t>
      </w:r>
    </w:p>
    <w:p w14:paraId="1BE58FCD" w14:textId="77777777" w:rsidR="0045535A" w:rsidRDefault="0045535A" w:rsidP="0045535A">
      <w:pPr>
        <w:pStyle w:val="af0"/>
        <w:numPr>
          <w:ilvl w:val="0"/>
          <w:numId w:val="63"/>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Measurement identities </w:t>
      </w:r>
    </w:p>
    <w:p w14:paraId="50CA6ED5" w14:textId="77777777" w:rsidR="0045535A" w:rsidRDefault="0045535A" w:rsidP="0045535A">
      <w:pPr>
        <w:rPr>
          <w:rFonts w:ascii="Times New Roman" w:eastAsiaTheme="minorEastAsia" w:hAnsi="Times New Roman"/>
          <w:sz w:val="22"/>
          <w:szCs w:val="22"/>
          <w:lang w:eastAsia="zh-TW"/>
        </w:rPr>
      </w:pPr>
      <w:bookmarkStart w:id="29" w:name="OLE_LINK39"/>
      <w:r>
        <w:rPr>
          <w:rFonts w:ascii="Times New Roman" w:eastAsiaTheme="minorEastAsia" w:hAnsi="Times New Roman"/>
          <w:sz w:val="22"/>
          <w:szCs w:val="22"/>
          <w:lang w:eastAsia="zh-TW"/>
        </w:rPr>
        <w:t xml:space="preserve">The information of measurement targets is carried by MO, which includes the timing and frequency locations, cells list, etc. The report configuration contains the report triggering condition, e.g., event-triggered, periodical, and the report quality, e.g., RSRP, SINR, RSSI (via </w:t>
      </w:r>
      <w:proofErr w:type="spellStart"/>
      <w:r>
        <w:rPr>
          <w:rFonts w:ascii="Times New Roman" w:eastAsiaTheme="minorEastAsia" w:hAnsi="Times New Roman"/>
          <w:sz w:val="22"/>
          <w:szCs w:val="22"/>
          <w:lang w:eastAsia="zh-TW"/>
        </w:rPr>
        <w:t>ReportQuantityCell</w:t>
      </w:r>
      <w:proofErr w:type="spellEnd"/>
      <w:r>
        <w:rPr>
          <w:rFonts w:ascii="Times New Roman" w:eastAsiaTheme="minorEastAsia" w:hAnsi="Times New Roman"/>
          <w:sz w:val="22"/>
          <w:szCs w:val="22"/>
          <w:lang w:eastAsia="zh-TW"/>
        </w:rPr>
        <w:t>). A measurement/report task is identified by a measurement ID which contain one MO ID and one report configuration ID. This framework can also be used for AI mobility inference configuration.</w:t>
      </w:r>
    </w:p>
    <w:bookmarkEnd w:id="27"/>
    <w:p w14:paraId="010AC689" w14:textId="4D2C3C86" w:rsidR="0045535A" w:rsidRDefault="0045535A" w:rsidP="0045535A">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lastRenderedPageBreak/>
        <w:t xml:space="preserve">However, it is clear that in AI mobility inference configuration, in addition to the MO, we need to identify the information of the inference target, i.e., the predicted object. It should contain the timing and frequency location of the predicted target. </w:t>
      </w:r>
      <w:r w:rsidR="00C325B9">
        <w:rPr>
          <w:rFonts w:ascii="Times New Roman" w:eastAsiaTheme="minorEastAsia" w:hAnsi="Times New Roman"/>
          <w:sz w:val="22"/>
          <w:szCs w:val="22"/>
          <w:lang w:eastAsia="zh-TW"/>
        </w:rPr>
        <w:t>For inter-</w:t>
      </w:r>
      <w:proofErr w:type="spellStart"/>
      <w:r w:rsidR="00C325B9">
        <w:rPr>
          <w:rFonts w:ascii="Times New Roman" w:eastAsiaTheme="minorEastAsia" w:hAnsi="Times New Roman"/>
          <w:sz w:val="22"/>
          <w:szCs w:val="22"/>
          <w:lang w:eastAsia="zh-TW"/>
        </w:rPr>
        <w:t>freq</w:t>
      </w:r>
      <w:proofErr w:type="spellEnd"/>
      <w:r w:rsidR="00C325B9">
        <w:rPr>
          <w:rFonts w:ascii="Times New Roman" w:eastAsiaTheme="minorEastAsia" w:hAnsi="Times New Roman"/>
          <w:sz w:val="22"/>
          <w:szCs w:val="22"/>
          <w:lang w:eastAsia="zh-TW"/>
        </w:rPr>
        <w:t xml:space="preserve"> prediction use case, the predicted object is difference from the measurement object. For intra-</w:t>
      </w:r>
      <w:proofErr w:type="spellStart"/>
      <w:r w:rsidR="00C325B9">
        <w:rPr>
          <w:rFonts w:ascii="Times New Roman" w:eastAsiaTheme="minorEastAsia" w:hAnsi="Times New Roman"/>
          <w:sz w:val="22"/>
          <w:szCs w:val="22"/>
          <w:lang w:eastAsia="zh-TW"/>
        </w:rPr>
        <w:t>freq</w:t>
      </w:r>
      <w:proofErr w:type="spellEnd"/>
      <w:r w:rsidR="00C325B9">
        <w:rPr>
          <w:rFonts w:ascii="Times New Roman" w:eastAsiaTheme="minorEastAsia" w:hAnsi="Times New Roman"/>
          <w:sz w:val="22"/>
          <w:szCs w:val="22"/>
          <w:lang w:eastAsia="zh-TW"/>
        </w:rPr>
        <w:t xml:space="preserve"> use case, the measurement and predicted object can be the same. Besides that, the configuration </w:t>
      </w:r>
      <w:r>
        <w:rPr>
          <w:rFonts w:ascii="Times New Roman" w:eastAsiaTheme="minorEastAsia" w:hAnsi="Times New Roman"/>
          <w:sz w:val="22"/>
          <w:szCs w:val="22"/>
          <w:lang w:eastAsia="zh-TW"/>
        </w:rPr>
        <w:t xml:space="preserve">should also </w:t>
      </w:r>
      <w:r w:rsidR="00C325B9">
        <w:rPr>
          <w:rFonts w:ascii="Times New Roman" w:eastAsiaTheme="minorEastAsia" w:hAnsi="Times New Roman"/>
          <w:sz w:val="22"/>
          <w:szCs w:val="22"/>
          <w:lang w:eastAsia="zh-TW"/>
        </w:rPr>
        <w:t>contain predicted</w:t>
      </w:r>
      <w:r>
        <w:rPr>
          <w:rFonts w:ascii="Times New Roman" w:eastAsiaTheme="minorEastAsia" w:hAnsi="Times New Roman"/>
          <w:sz w:val="22"/>
          <w:szCs w:val="22"/>
          <w:lang w:eastAsia="zh-TW"/>
        </w:rPr>
        <w:t xml:space="preserve"> information for different sub-use cases, for example, the prediction window (PW) length for Temporal domain case A, and the skipping pattern for Temporal domain case B.</w:t>
      </w:r>
    </w:p>
    <w:p w14:paraId="156F317E" w14:textId="0E939A33" w:rsidR="0045535A" w:rsidRDefault="0045535A" w:rsidP="0045535A">
      <w:pPr>
        <w:rPr>
          <w:rFonts w:ascii="Times New Roman" w:eastAsiaTheme="minorEastAsia" w:hAnsi="Times New Roman"/>
          <w:b/>
          <w:bCs/>
          <w:sz w:val="22"/>
          <w:szCs w:val="22"/>
        </w:rPr>
      </w:pPr>
      <w:bookmarkStart w:id="30" w:name="OLE_LINK23"/>
      <w:bookmarkStart w:id="31" w:name="OLE_LINK31"/>
      <w:bookmarkStart w:id="32" w:name="OLE_LINK108"/>
      <w:r>
        <w:rPr>
          <w:rFonts w:ascii="Times New Roman" w:eastAsiaTheme="minorEastAsia" w:hAnsi="Times New Roman"/>
          <w:b/>
          <w:bCs/>
          <w:sz w:val="22"/>
          <w:szCs w:val="22"/>
        </w:rPr>
        <w:t xml:space="preserve">Observation </w:t>
      </w:r>
      <w:r w:rsidR="00047F51">
        <w:rPr>
          <w:rFonts w:ascii="Times New Roman" w:eastAsiaTheme="minorEastAsia" w:hAnsi="Times New Roman"/>
          <w:b/>
          <w:bCs/>
          <w:sz w:val="22"/>
          <w:szCs w:val="22"/>
        </w:rPr>
        <w:t>1</w:t>
      </w:r>
      <w:r>
        <w:rPr>
          <w:rFonts w:ascii="Times New Roman" w:eastAsiaTheme="minorEastAsia" w:hAnsi="Times New Roman"/>
          <w:b/>
          <w:bCs/>
          <w:sz w:val="22"/>
          <w:szCs w:val="22"/>
        </w:rPr>
        <w:t>: For UE-sided model RRM prediction</w:t>
      </w:r>
      <w:r>
        <w:rPr>
          <w:rFonts w:ascii="Times New Roman" w:eastAsiaTheme="minorEastAsia" w:hAnsi="Times New Roman"/>
          <w:b/>
          <w:bCs/>
          <w:sz w:val="22"/>
          <w:szCs w:val="22"/>
          <w:lang w:eastAsia="zh-TW"/>
        </w:rPr>
        <w:t>, NW needs to configure information about the predicted target to UE</w:t>
      </w:r>
      <w:r>
        <w:rPr>
          <w:rFonts w:ascii="Times New Roman" w:eastAsiaTheme="minorEastAsia" w:hAnsi="Times New Roman"/>
          <w:b/>
          <w:bCs/>
          <w:sz w:val="22"/>
          <w:szCs w:val="22"/>
        </w:rPr>
        <w:t>. This may include the timing and frequency location of the predicted target and the related information to perform inference such as PW length, skipping pattern, etc.</w:t>
      </w:r>
      <w:bookmarkEnd w:id="30"/>
      <w:r>
        <w:rPr>
          <w:rFonts w:ascii="Times New Roman" w:eastAsiaTheme="minorEastAsia" w:hAnsi="Times New Roman"/>
          <w:b/>
          <w:bCs/>
          <w:sz w:val="22"/>
          <w:szCs w:val="22"/>
        </w:rPr>
        <w:t xml:space="preserve"> </w:t>
      </w:r>
      <w:bookmarkEnd w:id="31"/>
      <w:r>
        <w:rPr>
          <w:rFonts w:ascii="Times New Roman" w:eastAsiaTheme="minorEastAsia" w:hAnsi="Times New Roman"/>
          <w:b/>
          <w:bCs/>
          <w:sz w:val="22"/>
          <w:szCs w:val="22"/>
        </w:rPr>
        <w:t xml:space="preserve"> </w:t>
      </w:r>
    </w:p>
    <w:p w14:paraId="65CA5955" w14:textId="77777777" w:rsidR="0045535A" w:rsidRDefault="0045535A" w:rsidP="0045535A">
      <w:pPr>
        <w:rPr>
          <w:rFonts w:ascii="Times New Roman" w:eastAsiaTheme="minorEastAsia" w:hAnsi="Times New Roman"/>
          <w:sz w:val="22"/>
          <w:szCs w:val="22"/>
          <w:lang w:eastAsia="zh-TW"/>
        </w:rPr>
      </w:pPr>
      <w:bookmarkStart w:id="33" w:name="OLE_LINK89"/>
      <w:bookmarkStart w:id="34" w:name="OLE_LINK91"/>
      <w:bookmarkEnd w:id="32"/>
      <w:r>
        <w:rPr>
          <w:rFonts w:ascii="Times New Roman" w:eastAsiaTheme="minorEastAsia" w:hAnsi="Times New Roman"/>
          <w:sz w:val="22"/>
          <w:szCs w:val="22"/>
          <w:lang w:eastAsia="zh-TW"/>
        </w:rPr>
        <w:t xml:space="preserve">Similar to the legacy measurement, the report configuration provides the measurement report triggering condition and the report quantity, however, for AI mobility use cases, the measurement report can be generated based on not only real measurements but also predicted results. </w:t>
      </w:r>
      <w:bookmarkStart w:id="35" w:name="OLE_LINK69"/>
      <w:bookmarkStart w:id="36" w:name="OLE_LINK70"/>
      <w:bookmarkEnd w:id="28"/>
      <w:bookmarkEnd w:id="29"/>
      <w:bookmarkEnd w:id="33"/>
      <w:bookmarkEnd w:id="34"/>
      <w:r>
        <w:rPr>
          <w:rFonts w:ascii="Times New Roman" w:eastAsiaTheme="minorEastAsia" w:hAnsi="Times New Roman"/>
          <w:sz w:val="22"/>
          <w:szCs w:val="22"/>
          <w:lang w:eastAsia="zh-TW"/>
        </w:rPr>
        <w:t>Also, similar to the measurement ID, for AI mobility inference, we can introduce “inference ID” to figure out the mapping of an MO, a predicted object, a report configuration, and an inference report configuration. The overall configuration structure can be shown in the following figure where the inference configuration contains the following components:</w:t>
      </w:r>
    </w:p>
    <w:p w14:paraId="1ED1FDD1" w14:textId="77777777" w:rsidR="0045535A" w:rsidRDefault="0045535A" w:rsidP="0045535A">
      <w:pPr>
        <w:pStyle w:val="af0"/>
        <w:numPr>
          <w:ilvl w:val="0"/>
          <w:numId w:val="64"/>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 xml:space="preserve">Measurement object </w:t>
      </w:r>
      <w:r>
        <w:rPr>
          <w:rFonts w:ascii="Times New Roman" w:eastAsiaTheme="minorEastAsia" w:hAnsi="Times New Roman"/>
          <w:b/>
          <w:bCs/>
          <w:i/>
          <w:sz w:val="22"/>
          <w:szCs w:val="22"/>
          <w:u w:val="single"/>
        </w:rPr>
        <w:t xml:space="preserve">(via </w:t>
      </w:r>
      <w:proofErr w:type="spellStart"/>
      <w:r>
        <w:rPr>
          <w:rFonts w:ascii="Times New Roman" w:eastAsiaTheme="minorEastAsia" w:hAnsi="Times New Roman"/>
          <w:b/>
          <w:bCs/>
          <w:i/>
          <w:sz w:val="22"/>
          <w:szCs w:val="22"/>
          <w:u w:val="single"/>
        </w:rPr>
        <w:t>MeasObject</w:t>
      </w:r>
      <w:proofErr w:type="spellEnd"/>
      <w:r>
        <w:rPr>
          <w:rFonts w:ascii="Times New Roman" w:eastAsiaTheme="minorEastAsia" w:hAnsi="Times New Roman"/>
          <w:b/>
          <w:bCs/>
          <w:i/>
          <w:sz w:val="22"/>
          <w:szCs w:val="22"/>
          <w:u w:val="single"/>
        </w:rPr>
        <w:t>)</w:t>
      </w:r>
      <w:r>
        <w:rPr>
          <w:rFonts w:ascii="Times New Roman" w:eastAsiaTheme="minorEastAsia" w:hAnsi="Times New Roman"/>
          <w:b/>
          <w:bCs/>
          <w:sz w:val="22"/>
          <w:szCs w:val="22"/>
          <w:u w:val="single"/>
          <w:lang w:eastAsia="zh-TW"/>
        </w:rPr>
        <w:t>:</w:t>
      </w:r>
      <w:r>
        <w:rPr>
          <w:rFonts w:ascii="Times New Roman" w:eastAsiaTheme="minorEastAsia" w:hAnsi="Times New Roman"/>
          <w:sz w:val="22"/>
          <w:szCs w:val="22"/>
          <w:lang w:eastAsia="zh-TW"/>
        </w:rPr>
        <w:t xml:space="preserve"> </w:t>
      </w:r>
      <w:bookmarkStart w:id="37" w:name="OLE_LINK56"/>
      <w:r>
        <w:rPr>
          <w:rFonts w:ascii="Times New Roman" w:eastAsiaTheme="minorEastAsia" w:hAnsi="Times New Roman"/>
          <w:sz w:val="22"/>
          <w:szCs w:val="22"/>
          <w:lang w:eastAsia="zh-TW"/>
        </w:rPr>
        <w:t>Describes the information of measurement/observed target.</w:t>
      </w:r>
      <w:bookmarkEnd w:id="37"/>
    </w:p>
    <w:p w14:paraId="7902F451" w14:textId="77518046" w:rsidR="0045535A" w:rsidRDefault="0045535A" w:rsidP="0045535A">
      <w:pPr>
        <w:pStyle w:val="af0"/>
        <w:numPr>
          <w:ilvl w:val="0"/>
          <w:numId w:val="64"/>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Report configuration</w:t>
      </w:r>
      <w:r>
        <w:rPr>
          <w:rFonts w:ascii="Times New Roman" w:eastAsiaTheme="minorEastAsia" w:hAnsi="Times New Roman"/>
          <w:b/>
          <w:bCs/>
          <w:i/>
          <w:sz w:val="22"/>
          <w:szCs w:val="22"/>
          <w:u w:val="single"/>
        </w:rPr>
        <w:t xml:space="preserve"> (via </w:t>
      </w:r>
      <w:proofErr w:type="spellStart"/>
      <w:r w:rsidR="00C325B9">
        <w:rPr>
          <w:rFonts w:ascii="Times New Roman" w:eastAsiaTheme="minorEastAsia" w:hAnsi="Times New Roman"/>
          <w:b/>
          <w:bCs/>
          <w:i/>
          <w:sz w:val="22"/>
          <w:szCs w:val="22"/>
          <w:u w:val="single"/>
        </w:rPr>
        <w:t>ReportConfig</w:t>
      </w:r>
      <w:proofErr w:type="spellEnd"/>
      <w:r>
        <w:rPr>
          <w:rFonts w:ascii="Times New Roman" w:eastAsiaTheme="minorEastAsia" w:hAnsi="Times New Roman"/>
          <w:b/>
          <w:bCs/>
          <w:i/>
          <w:sz w:val="22"/>
          <w:szCs w:val="22"/>
          <w:u w:val="single"/>
        </w:rPr>
        <w:t>)</w:t>
      </w:r>
      <w:r>
        <w:rPr>
          <w:rFonts w:ascii="Times New Roman" w:eastAsiaTheme="minorEastAsia" w:hAnsi="Times New Roman"/>
          <w:b/>
          <w:bCs/>
          <w:sz w:val="22"/>
          <w:szCs w:val="22"/>
          <w:u w:val="single"/>
          <w:lang w:eastAsia="zh-TW"/>
        </w:rPr>
        <w:t>:</w:t>
      </w:r>
      <w:r>
        <w:rPr>
          <w:rFonts w:ascii="Times New Roman" w:eastAsiaTheme="minorEastAsia" w:hAnsi="Times New Roman"/>
          <w:sz w:val="22"/>
          <w:szCs w:val="22"/>
          <w:lang w:eastAsia="zh-TW"/>
        </w:rPr>
        <w:t xml:space="preserve"> </w:t>
      </w:r>
      <w:bookmarkStart w:id="38" w:name="OLE_LINK57"/>
      <w:r>
        <w:rPr>
          <w:rFonts w:ascii="Times New Roman" w:eastAsiaTheme="minorEastAsia" w:hAnsi="Times New Roman"/>
          <w:sz w:val="22"/>
          <w:szCs w:val="22"/>
          <w:lang w:eastAsia="zh-TW"/>
        </w:rPr>
        <w:t xml:space="preserve">Describes the triggering condition and report quantity for the measurement report. </w:t>
      </w:r>
      <w:bookmarkEnd w:id="38"/>
      <w:r>
        <w:rPr>
          <w:rFonts w:ascii="Times New Roman" w:eastAsiaTheme="minorEastAsia" w:hAnsi="Times New Roman"/>
          <w:sz w:val="22"/>
          <w:szCs w:val="22"/>
          <w:lang w:eastAsia="zh-TW"/>
        </w:rPr>
        <w:t>The measurement report can be generated based on both real measurement and inference results.</w:t>
      </w:r>
    </w:p>
    <w:p w14:paraId="738D648F" w14:textId="77777777" w:rsidR="00EA16AF" w:rsidRDefault="00EA16AF" w:rsidP="00EA16AF">
      <w:pPr>
        <w:pStyle w:val="af0"/>
        <w:numPr>
          <w:ilvl w:val="0"/>
          <w:numId w:val="64"/>
        </w:numPr>
        <w:ind w:leftChars="0"/>
        <w:rPr>
          <w:rFonts w:ascii="Times New Roman" w:eastAsiaTheme="minorEastAsia" w:hAnsi="Times New Roman"/>
          <w:sz w:val="22"/>
          <w:szCs w:val="22"/>
          <w:lang w:eastAsia="zh-TW"/>
        </w:rPr>
      </w:pPr>
      <w:bookmarkStart w:id="39" w:name="OLE_LINK213"/>
      <w:r>
        <w:rPr>
          <w:rFonts w:ascii="Times New Roman" w:eastAsiaTheme="minorEastAsia" w:hAnsi="Times New Roman"/>
          <w:b/>
          <w:bCs/>
          <w:sz w:val="22"/>
          <w:szCs w:val="22"/>
          <w:u w:val="single"/>
          <w:lang w:eastAsia="zh-TW"/>
        </w:rPr>
        <w:t>Predicted object</w:t>
      </w:r>
      <w:r>
        <w:rPr>
          <w:rFonts w:ascii="Times New Roman" w:eastAsiaTheme="minorEastAsia" w:hAnsi="Times New Roman"/>
          <w:b/>
          <w:bCs/>
          <w:i/>
          <w:sz w:val="22"/>
          <w:szCs w:val="22"/>
          <w:u w:val="single"/>
        </w:rPr>
        <w:t xml:space="preserve"> (via </w:t>
      </w:r>
      <w:proofErr w:type="spellStart"/>
      <w:r>
        <w:rPr>
          <w:rFonts w:ascii="Times New Roman" w:eastAsiaTheme="minorEastAsia" w:hAnsi="Times New Roman"/>
          <w:b/>
          <w:bCs/>
          <w:i/>
          <w:sz w:val="22"/>
          <w:szCs w:val="22"/>
          <w:u w:val="single"/>
        </w:rPr>
        <w:t>PredObject</w:t>
      </w:r>
      <w:proofErr w:type="spellEnd"/>
      <w:r>
        <w:rPr>
          <w:rFonts w:ascii="Times New Roman" w:eastAsiaTheme="minorEastAsia" w:hAnsi="Times New Roman"/>
          <w:b/>
          <w:bCs/>
          <w:i/>
          <w:sz w:val="22"/>
          <w:szCs w:val="22"/>
          <w:u w:val="single"/>
        </w:rPr>
        <w:t>)</w:t>
      </w:r>
      <w:r>
        <w:rPr>
          <w:rFonts w:ascii="Times New Roman" w:eastAsiaTheme="minorEastAsia" w:hAnsi="Times New Roman"/>
          <w:b/>
          <w:bCs/>
          <w:sz w:val="22"/>
          <w:szCs w:val="22"/>
          <w:u w:val="single"/>
          <w:lang w:eastAsia="zh-TW"/>
        </w:rPr>
        <w:t>:</w:t>
      </w:r>
      <w:r>
        <w:rPr>
          <w:rFonts w:ascii="Times New Roman" w:eastAsiaTheme="minorEastAsia" w:hAnsi="Times New Roman"/>
          <w:sz w:val="22"/>
          <w:szCs w:val="22"/>
          <w:lang w:eastAsia="zh-TW"/>
        </w:rPr>
        <w:t xml:space="preserve"> Describes the information of inference/predicted target (can reuse </w:t>
      </w:r>
      <w:proofErr w:type="spellStart"/>
      <w:r>
        <w:rPr>
          <w:rFonts w:ascii="Times New Roman" w:eastAsiaTheme="minorEastAsia" w:hAnsi="Times New Roman"/>
          <w:i/>
          <w:sz w:val="22"/>
          <w:szCs w:val="22"/>
          <w:u w:val="single"/>
        </w:rPr>
        <w:t>MeasObject</w:t>
      </w:r>
      <w:proofErr w:type="spellEnd"/>
      <w:r>
        <w:rPr>
          <w:rFonts w:ascii="Times New Roman" w:eastAsiaTheme="minorEastAsia" w:hAnsi="Times New Roman"/>
          <w:sz w:val="22"/>
          <w:szCs w:val="22"/>
          <w:lang w:eastAsia="zh-TW"/>
        </w:rPr>
        <w:t xml:space="preserve"> if applicable). </w:t>
      </w:r>
    </w:p>
    <w:p w14:paraId="6CB7742E" w14:textId="77777777" w:rsidR="0045535A" w:rsidRDefault="0045535A" w:rsidP="0045535A">
      <w:pPr>
        <w:pStyle w:val="af0"/>
        <w:numPr>
          <w:ilvl w:val="0"/>
          <w:numId w:val="64"/>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Inference identity</w:t>
      </w:r>
      <w:r>
        <w:rPr>
          <w:rFonts w:ascii="Times New Roman" w:eastAsiaTheme="minorEastAsia" w:hAnsi="Times New Roman"/>
          <w:b/>
          <w:bCs/>
          <w:i/>
          <w:sz w:val="22"/>
          <w:szCs w:val="22"/>
          <w:u w:val="single"/>
        </w:rPr>
        <w:t xml:space="preserve"> (via </w:t>
      </w:r>
      <w:proofErr w:type="spellStart"/>
      <w:r>
        <w:rPr>
          <w:rFonts w:ascii="Times New Roman" w:eastAsiaTheme="minorEastAsia" w:hAnsi="Times New Roman"/>
          <w:b/>
          <w:bCs/>
          <w:i/>
          <w:sz w:val="22"/>
          <w:szCs w:val="22"/>
          <w:u w:val="single"/>
        </w:rPr>
        <w:t>InferenceId</w:t>
      </w:r>
      <w:proofErr w:type="spellEnd"/>
      <w:r>
        <w:rPr>
          <w:rFonts w:ascii="Times New Roman" w:eastAsiaTheme="minorEastAsia" w:hAnsi="Times New Roman"/>
          <w:b/>
          <w:bCs/>
          <w:i/>
          <w:sz w:val="22"/>
          <w:szCs w:val="22"/>
          <w:u w:val="single"/>
        </w:rPr>
        <w:t>)</w:t>
      </w:r>
      <w:r>
        <w:rPr>
          <w:rFonts w:ascii="Times New Roman" w:eastAsiaTheme="minorEastAsia" w:hAnsi="Times New Roman"/>
          <w:b/>
          <w:bCs/>
          <w:sz w:val="22"/>
          <w:szCs w:val="22"/>
          <w:u w:val="single"/>
          <w:lang w:eastAsia="zh-TW"/>
        </w:rPr>
        <w:t>:</w:t>
      </w:r>
      <w:r>
        <w:rPr>
          <w:rFonts w:ascii="Times New Roman" w:eastAsiaTheme="minorEastAsia" w:hAnsi="Times New Roman"/>
          <w:sz w:val="22"/>
          <w:szCs w:val="22"/>
          <w:lang w:eastAsia="zh-TW"/>
        </w:rPr>
        <w:t xml:space="preserve"> </w:t>
      </w:r>
      <w:bookmarkStart w:id="40" w:name="OLE_LINK214"/>
      <w:bookmarkStart w:id="41" w:name="OLE_LINK61"/>
      <w:r>
        <w:rPr>
          <w:rFonts w:ascii="Times New Roman" w:eastAsiaTheme="minorEastAsia" w:hAnsi="Times New Roman"/>
          <w:sz w:val="22"/>
          <w:szCs w:val="22"/>
          <w:lang w:eastAsia="zh-TW"/>
        </w:rPr>
        <w:t xml:space="preserve">Refers to an </w:t>
      </w:r>
      <w:bookmarkEnd w:id="40"/>
      <w:r>
        <w:rPr>
          <w:rFonts w:ascii="Times New Roman" w:eastAsiaTheme="minorEastAsia" w:hAnsi="Times New Roman"/>
          <w:sz w:val="22"/>
          <w:szCs w:val="22"/>
          <w:lang w:eastAsia="zh-TW"/>
        </w:rPr>
        <w:t xml:space="preserve">identity (can reuse </w:t>
      </w:r>
      <w:proofErr w:type="spellStart"/>
      <w:r>
        <w:rPr>
          <w:rFonts w:ascii="Times New Roman" w:eastAsiaTheme="minorEastAsia" w:hAnsi="Times New Roman"/>
          <w:i/>
          <w:iCs/>
          <w:sz w:val="22"/>
          <w:szCs w:val="22"/>
          <w:lang w:eastAsia="zh-TW"/>
        </w:rPr>
        <w:t>MeasId</w:t>
      </w:r>
      <w:proofErr w:type="spellEnd"/>
      <w:r>
        <w:rPr>
          <w:rFonts w:ascii="Times New Roman" w:eastAsiaTheme="minorEastAsia" w:hAnsi="Times New Roman"/>
          <w:i/>
          <w:iCs/>
          <w:sz w:val="22"/>
          <w:szCs w:val="22"/>
          <w:lang w:eastAsia="zh-TW"/>
        </w:rPr>
        <w:t xml:space="preserve"> </w:t>
      </w:r>
      <w:r>
        <w:rPr>
          <w:rFonts w:ascii="Times New Roman" w:eastAsiaTheme="minorEastAsia" w:hAnsi="Times New Roman"/>
          <w:sz w:val="22"/>
          <w:szCs w:val="22"/>
          <w:lang w:eastAsia="zh-TW"/>
        </w:rPr>
        <w:t>if applicable) that provides the mapping of a measurement object, a predicted object, and a report configuration</w:t>
      </w:r>
      <w:bookmarkEnd w:id="39"/>
      <w:bookmarkEnd w:id="41"/>
      <w:r>
        <w:rPr>
          <w:rFonts w:ascii="Times New Roman" w:eastAsiaTheme="minorEastAsia" w:hAnsi="Times New Roman"/>
          <w:sz w:val="22"/>
          <w:szCs w:val="22"/>
          <w:lang w:eastAsia="zh-TW"/>
        </w:rPr>
        <w:t>.</w:t>
      </w:r>
    </w:p>
    <w:p w14:paraId="06FA8BE5" w14:textId="717DAE92" w:rsidR="00253AAC" w:rsidRDefault="00253AAC" w:rsidP="0045535A">
      <w:pPr>
        <w:jc w:val="center"/>
        <w:rPr>
          <w:rFonts w:ascii="Times New Roman" w:eastAsiaTheme="minorEastAsia" w:hAnsi="Times New Roman"/>
          <w:sz w:val="22"/>
          <w:szCs w:val="22"/>
          <w:lang w:eastAsia="zh-TW"/>
        </w:rPr>
      </w:pPr>
      <w:r>
        <w:rPr>
          <w:rFonts w:ascii="Times New Roman" w:eastAsiaTheme="minorEastAsia" w:hAnsi="Times New Roman"/>
          <w:noProof/>
          <w:sz w:val="22"/>
          <w:szCs w:val="22"/>
          <w:lang w:eastAsia="zh-TW"/>
        </w:rPr>
        <w:drawing>
          <wp:inline distT="0" distB="0" distL="0" distR="0" wp14:anchorId="220EB648" wp14:editId="27DD2D0C">
            <wp:extent cx="6610227" cy="3715665"/>
            <wp:effectExtent l="0" t="0" r="635"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34675" cy="3729407"/>
                    </a:xfrm>
                    <a:prstGeom prst="rect">
                      <a:avLst/>
                    </a:prstGeom>
                    <a:noFill/>
                  </pic:spPr>
                </pic:pic>
              </a:graphicData>
            </a:graphic>
          </wp:inline>
        </w:drawing>
      </w:r>
    </w:p>
    <w:p w14:paraId="3BED4D5E" w14:textId="77777777" w:rsidR="0045535A" w:rsidRDefault="0045535A" w:rsidP="0045535A">
      <w:pPr>
        <w:spacing w:before="120"/>
        <w:jc w:val="center"/>
        <w:rPr>
          <w:rFonts w:ascii="Times New Roman" w:eastAsiaTheme="minorEastAsia" w:hAnsi="Times New Roman"/>
          <w:sz w:val="22"/>
          <w:szCs w:val="22"/>
          <w:lang w:eastAsia="zh-TW"/>
        </w:rPr>
      </w:pPr>
      <w:bookmarkStart w:id="42" w:name="_Hlk162359046"/>
      <w:bookmarkStart w:id="43" w:name="OLE_LINK15"/>
      <w:r>
        <w:rPr>
          <w:rFonts w:ascii="Arial Unicode MS" w:eastAsia="Arial Unicode MS" w:hAnsi="Arial Unicode MS" w:cs="Arial Unicode MS"/>
          <w:b/>
          <w:bCs/>
        </w:rPr>
        <w:lastRenderedPageBreak/>
        <w:t xml:space="preserve">Figure 2: </w:t>
      </w:r>
      <w:bookmarkEnd w:id="42"/>
      <w:r>
        <w:rPr>
          <w:rFonts w:ascii="Arial Unicode MS" w:eastAsia="Arial Unicode MS" w:hAnsi="Arial Unicode MS" w:cs="Arial Unicode MS"/>
          <w:b/>
          <w:bCs/>
        </w:rPr>
        <w:t>Overall structure of inference configuration.</w:t>
      </w:r>
    </w:p>
    <w:p w14:paraId="19BDF042" w14:textId="47BAB2AA" w:rsidR="0045535A" w:rsidRDefault="0045535A" w:rsidP="0045535A">
      <w:pPr>
        <w:pStyle w:val="Comments"/>
        <w:spacing w:before="120"/>
        <w:rPr>
          <w:rFonts w:ascii="Times New Roman" w:eastAsiaTheme="minorEastAsia" w:hAnsi="Times New Roman"/>
          <w:b/>
          <w:bCs/>
          <w:i w:val="0"/>
          <w:sz w:val="22"/>
          <w:szCs w:val="22"/>
        </w:rPr>
      </w:pPr>
      <w:bookmarkStart w:id="44" w:name="OLE_LINK13"/>
      <w:bookmarkStart w:id="45" w:name="OLE_LINK110"/>
      <w:bookmarkStart w:id="46" w:name="OLE_LINK28"/>
      <w:bookmarkStart w:id="47" w:name="OLE_LINK92"/>
      <w:bookmarkStart w:id="48" w:name="OLE_LINK97"/>
      <w:bookmarkEnd w:id="35"/>
      <w:bookmarkEnd w:id="36"/>
      <w:bookmarkEnd w:id="43"/>
      <w:r>
        <w:rPr>
          <w:rFonts w:ascii="Times New Roman" w:eastAsiaTheme="minorEastAsia" w:hAnsi="Times New Roman"/>
          <w:b/>
          <w:bCs/>
          <w:i w:val="0"/>
          <w:sz w:val="22"/>
          <w:szCs w:val="22"/>
        </w:rPr>
        <w:t xml:space="preserve">Proposal </w:t>
      </w:r>
      <w:r w:rsidR="00047F51">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NW provide full inference configuration to UE via </w:t>
      </w:r>
      <w:r>
        <w:rPr>
          <w:rFonts w:ascii="Times New Roman" w:eastAsiaTheme="minorEastAsia" w:hAnsi="Times New Roman"/>
          <w:b/>
          <w:bCs/>
          <w:iCs/>
          <w:sz w:val="22"/>
          <w:szCs w:val="22"/>
        </w:rPr>
        <w:t>MeasConfig</w:t>
      </w:r>
      <w:r>
        <w:rPr>
          <w:rFonts w:ascii="Times New Roman" w:eastAsiaTheme="minorEastAsia" w:hAnsi="Times New Roman"/>
          <w:b/>
          <w:bCs/>
          <w:i w:val="0"/>
          <w:sz w:val="22"/>
          <w:szCs w:val="22"/>
        </w:rPr>
        <w:t xml:space="preserve">, which contains </w:t>
      </w:r>
    </w:p>
    <w:bookmarkEnd w:id="44"/>
    <w:p w14:paraId="26B6D70A" w14:textId="77777777" w:rsidR="0045535A" w:rsidRDefault="0045535A" w:rsidP="0045535A">
      <w:pPr>
        <w:pStyle w:val="Comments"/>
        <w:numPr>
          <w:ilvl w:val="0"/>
          <w:numId w:val="6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(via </w:t>
      </w:r>
      <w:r>
        <w:rPr>
          <w:rFonts w:ascii="Times New Roman" w:eastAsiaTheme="minorEastAsia" w:hAnsi="Times New Roman"/>
          <w:b/>
          <w:bCs/>
          <w:iCs/>
          <w:sz w:val="22"/>
          <w:szCs w:val="22"/>
          <w:u w:val="single"/>
        </w:rPr>
        <w:t>MeasObject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measurement/observed target.</w:t>
      </w:r>
    </w:p>
    <w:p w14:paraId="5959D435" w14:textId="77777777" w:rsidR="0045535A" w:rsidRDefault="0045535A" w:rsidP="0045535A">
      <w:pPr>
        <w:pStyle w:val="Comments"/>
        <w:numPr>
          <w:ilvl w:val="0"/>
          <w:numId w:val="6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Report configuration (via </w:t>
      </w:r>
      <w:r>
        <w:rPr>
          <w:rFonts w:ascii="Times New Roman" w:eastAsiaTheme="minorEastAsia" w:hAnsi="Times New Roman"/>
          <w:b/>
          <w:bCs/>
          <w:iCs/>
          <w:sz w:val="22"/>
          <w:szCs w:val="22"/>
          <w:u w:val="single"/>
        </w:rPr>
        <w:t>ReportConfig</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triggering condition and report quantity for the measurement report.</w:t>
      </w:r>
    </w:p>
    <w:p w14:paraId="61E37C8B" w14:textId="77777777" w:rsidR="00EA16AF" w:rsidRDefault="00EA16AF" w:rsidP="00EA16AF">
      <w:pPr>
        <w:pStyle w:val="Comments"/>
        <w:numPr>
          <w:ilvl w:val="0"/>
          <w:numId w:val="6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Predicted object (via </w:t>
      </w:r>
      <w:r>
        <w:rPr>
          <w:rFonts w:ascii="Times New Roman" w:eastAsiaTheme="minorEastAsia" w:hAnsi="Times New Roman"/>
          <w:b/>
          <w:bCs/>
          <w:iCs/>
          <w:sz w:val="22"/>
          <w:szCs w:val="22"/>
          <w:u w:val="single"/>
        </w:rPr>
        <w:t>PredObject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inference/predicted target (can reuse </w:t>
      </w:r>
      <w:r>
        <w:rPr>
          <w:rFonts w:ascii="Times New Roman" w:eastAsiaTheme="minorEastAsia" w:hAnsi="Times New Roman"/>
          <w:b/>
          <w:bCs/>
          <w:iCs/>
          <w:sz w:val="22"/>
          <w:szCs w:val="22"/>
        </w:rPr>
        <w:t>MeasObject</w:t>
      </w:r>
      <w:r>
        <w:rPr>
          <w:rFonts w:ascii="Times New Roman" w:eastAsiaTheme="minorEastAsia" w:hAnsi="Times New Roman"/>
          <w:b/>
          <w:bCs/>
          <w:i w:val="0"/>
          <w:sz w:val="22"/>
          <w:szCs w:val="22"/>
        </w:rPr>
        <w:t xml:space="preserve"> if applicable).</w:t>
      </w:r>
    </w:p>
    <w:p w14:paraId="662EEB0A" w14:textId="77777777" w:rsidR="0045535A" w:rsidRDefault="0045535A" w:rsidP="0045535A">
      <w:pPr>
        <w:pStyle w:val="Comments"/>
        <w:numPr>
          <w:ilvl w:val="0"/>
          <w:numId w:val="6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Inference identity (via </w:t>
      </w:r>
      <w:r>
        <w:rPr>
          <w:rFonts w:ascii="Times New Roman" w:eastAsiaTheme="minorEastAsia" w:hAnsi="Times New Roman"/>
          <w:b/>
          <w:bCs/>
          <w:iCs/>
          <w:sz w:val="22"/>
          <w:szCs w:val="22"/>
          <w:u w:val="single"/>
        </w:rPr>
        <w:t>InferenceId</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Refers to an identity (can reuse </w:t>
      </w:r>
      <w:r>
        <w:rPr>
          <w:rFonts w:ascii="Times New Roman" w:eastAsiaTheme="minorEastAsia" w:hAnsi="Times New Roman"/>
          <w:b/>
          <w:bCs/>
          <w:iCs/>
          <w:sz w:val="22"/>
          <w:szCs w:val="22"/>
        </w:rPr>
        <w:t>MeasId</w:t>
      </w:r>
      <w:r>
        <w:rPr>
          <w:rFonts w:ascii="Times New Roman" w:eastAsiaTheme="minorEastAsia" w:hAnsi="Times New Roman"/>
          <w:b/>
          <w:bCs/>
          <w:i w:val="0"/>
          <w:sz w:val="22"/>
          <w:szCs w:val="22"/>
        </w:rPr>
        <w:t xml:space="preserve"> if applicable) that provides the mapping of a measurement object, a predicted object, and a report configuration</w:t>
      </w:r>
      <w:r>
        <w:rPr>
          <w:rFonts w:ascii="Times New Roman" w:eastAsiaTheme="minorEastAsia" w:hAnsi="Times New Roman"/>
          <w:b/>
          <w:bCs/>
          <w:i w:val="0"/>
          <w:strike/>
          <w:sz w:val="22"/>
          <w:szCs w:val="22"/>
        </w:rPr>
        <w:t>.</w:t>
      </w:r>
    </w:p>
    <w:p w14:paraId="2E16CA54" w14:textId="1C9B512E" w:rsidR="0045535A" w:rsidRDefault="00EA16AF" w:rsidP="00EA16AF">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047F51">
        <w:rPr>
          <w:rFonts w:ascii="Times New Roman" w:eastAsiaTheme="minorEastAsia" w:hAnsi="Times New Roman"/>
          <w:b/>
          <w:bCs/>
          <w:i w:val="0"/>
          <w:sz w:val="22"/>
          <w:szCs w:val="22"/>
        </w:rPr>
        <w:t>5</w:t>
      </w:r>
      <w:r>
        <w:rPr>
          <w:rFonts w:ascii="Times New Roman" w:eastAsiaTheme="minorEastAsia" w:hAnsi="Times New Roman"/>
          <w:b/>
          <w:bCs/>
          <w:i w:val="0"/>
          <w:sz w:val="22"/>
          <w:szCs w:val="22"/>
        </w:rPr>
        <w:t xml:space="preserve">: For intra-freq prediction and measurement event prediction </w:t>
      </w:r>
      <w:r w:rsidR="00A3222E">
        <w:rPr>
          <w:rFonts w:ascii="Times New Roman" w:eastAsiaTheme="minorEastAsia" w:hAnsi="Times New Roman"/>
          <w:b/>
          <w:bCs/>
          <w:i w:val="0"/>
          <w:sz w:val="22"/>
          <w:szCs w:val="22"/>
        </w:rPr>
        <w:t>for which</w:t>
      </w:r>
      <w:r>
        <w:rPr>
          <w:rFonts w:ascii="Times New Roman" w:eastAsiaTheme="minorEastAsia" w:hAnsi="Times New Roman"/>
          <w:b/>
          <w:bCs/>
          <w:i w:val="0"/>
          <w:sz w:val="22"/>
          <w:szCs w:val="22"/>
        </w:rPr>
        <w:t xml:space="preserve"> prediction object and measurement object refer to the same one, the predicted object could be optional.  </w:t>
      </w:r>
    </w:p>
    <w:bookmarkEnd w:id="45"/>
    <w:bookmarkEnd w:id="46"/>
    <w:bookmarkEnd w:id="47"/>
    <w:bookmarkEnd w:id="48"/>
    <w:p w14:paraId="22CD3B25" w14:textId="16765CBE" w:rsidR="00811135" w:rsidRDefault="00811135" w:rsidP="00811135">
      <w:pPr>
        <w:pStyle w:val="2"/>
        <w:tabs>
          <w:tab w:val="num" w:pos="576"/>
        </w:tabs>
      </w:pPr>
      <w:r>
        <w:t>Applicability</w:t>
      </w:r>
    </w:p>
    <w:p w14:paraId="621BF422" w14:textId="41534DE6" w:rsidR="00762A30" w:rsidRDefault="00762A30" w:rsidP="00BD59EF">
      <w:pPr>
        <w:rPr>
          <w:rFonts w:ascii="Times New Roman" w:eastAsia="DengXian" w:hAnsi="Times New Roman"/>
          <w:sz w:val="22"/>
          <w:szCs w:val="22"/>
          <w:lang w:val="en-US"/>
        </w:rPr>
      </w:pPr>
      <w:r w:rsidRPr="00762A30">
        <w:rPr>
          <w:rFonts w:ascii="Times New Roman" w:eastAsia="DengXian" w:hAnsi="Times New Roman"/>
          <w:sz w:val="22"/>
          <w:szCs w:val="22"/>
          <w:lang w:val="en-US"/>
        </w:rPr>
        <w:t xml:space="preserve">Regarding the applicability report procedure, RAN2 has agreed to support both Option A and Option B. For Option A, the NW can provide a detailed full inference configuration to the UE through </w:t>
      </w:r>
      <w:proofErr w:type="spellStart"/>
      <w:r w:rsidRPr="00762A30">
        <w:rPr>
          <w:rFonts w:ascii="Times New Roman" w:eastAsia="DengXian" w:hAnsi="Times New Roman"/>
          <w:i/>
          <w:iCs/>
          <w:sz w:val="22"/>
          <w:szCs w:val="22"/>
          <w:lang w:val="en-US"/>
        </w:rPr>
        <w:t>measConfig</w:t>
      </w:r>
      <w:proofErr w:type="spellEnd"/>
      <w:r w:rsidRPr="00762A30">
        <w:rPr>
          <w:rFonts w:ascii="Times New Roman" w:eastAsia="DengXian" w:hAnsi="Times New Roman"/>
          <w:sz w:val="22"/>
          <w:szCs w:val="22"/>
          <w:lang w:val="en-US"/>
        </w:rPr>
        <w:t xml:space="preserve">, and the UE can report the corresponding applicability based on the </w:t>
      </w:r>
      <w:proofErr w:type="spellStart"/>
      <w:r w:rsidRPr="00762A30">
        <w:rPr>
          <w:rFonts w:ascii="Times New Roman" w:eastAsia="DengXian" w:hAnsi="Times New Roman"/>
          <w:i/>
          <w:iCs/>
          <w:sz w:val="22"/>
          <w:szCs w:val="22"/>
          <w:lang w:val="en-US"/>
        </w:rPr>
        <w:t>inferenceId</w:t>
      </w:r>
      <w:proofErr w:type="spellEnd"/>
      <w:r>
        <w:rPr>
          <w:rFonts w:ascii="Times New Roman" w:eastAsia="DengXian" w:hAnsi="Times New Roman"/>
          <w:i/>
          <w:iCs/>
          <w:sz w:val="22"/>
          <w:szCs w:val="22"/>
          <w:lang w:val="en-US"/>
        </w:rPr>
        <w:t xml:space="preserve"> </w:t>
      </w:r>
      <w:r w:rsidRPr="00762A30">
        <w:rPr>
          <w:rFonts w:ascii="Times New Roman" w:eastAsia="DengXian" w:hAnsi="Times New Roman"/>
          <w:sz w:val="22"/>
          <w:szCs w:val="22"/>
          <w:lang w:val="en-US"/>
        </w:rPr>
        <w:t xml:space="preserve">mentioned in previous section. For Option B, the NW provides one or multiple sets of inference parameters to the UE through </w:t>
      </w:r>
      <w:proofErr w:type="spellStart"/>
      <w:r w:rsidRPr="00762A30">
        <w:rPr>
          <w:rFonts w:ascii="Times New Roman" w:eastAsia="DengXian" w:hAnsi="Times New Roman"/>
          <w:i/>
          <w:iCs/>
          <w:sz w:val="22"/>
          <w:szCs w:val="22"/>
          <w:lang w:val="en-US"/>
        </w:rPr>
        <w:t>OtherConfig</w:t>
      </w:r>
      <w:proofErr w:type="spellEnd"/>
      <w:r w:rsidRPr="00762A30">
        <w:rPr>
          <w:rFonts w:ascii="Times New Roman" w:eastAsia="DengXian" w:hAnsi="Times New Roman"/>
          <w:sz w:val="22"/>
          <w:szCs w:val="22"/>
          <w:lang w:val="en-US"/>
        </w:rPr>
        <w:t xml:space="preserve">. However, RAN2 has not reached an agreement on how the UE should report </w:t>
      </w:r>
      <w:r w:rsidR="00A10D5C">
        <w:rPr>
          <w:rFonts w:ascii="Times New Roman" w:eastAsia="DengXian" w:hAnsi="Times New Roman"/>
          <w:sz w:val="22"/>
          <w:szCs w:val="22"/>
          <w:lang w:val="en-US"/>
        </w:rPr>
        <w:t>applicability</w:t>
      </w:r>
      <w:r w:rsidR="00A10D5C" w:rsidRPr="00762A30">
        <w:rPr>
          <w:rFonts w:ascii="Times New Roman" w:eastAsia="DengXian" w:hAnsi="Times New Roman"/>
          <w:sz w:val="22"/>
          <w:szCs w:val="22"/>
          <w:lang w:val="en-US"/>
        </w:rPr>
        <w:t xml:space="preserve"> </w:t>
      </w:r>
      <w:r w:rsidRPr="00762A30">
        <w:rPr>
          <w:rFonts w:ascii="Times New Roman" w:eastAsia="DengXian" w:hAnsi="Times New Roman"/>
          <w:sz w:val="22"/>
          <w:szCs w:val="22"/>
          <w:lang w:val="en-US"/>
        </w:rPr>
        <w:t>for each set of inference parameters and what the corresponding MOs for the inference parameters should be. Further discussion is required.</w:t>
      </w:r>
    </w:p>
    <w:p w14:paraId="4CEEAA64" w14:textId="5C864E2B" w:rsidR="009F3BF1" w:rsidRDefault="00EA16AF" w:rsidP="009F3BF1">
      <w:pPr>
        <w:pStyle w:val="3"/>
        <w:tabs>
          <w:tab w:val="num" w:pos="810"/>
        </w:tabs>
      </w:pPr>
      <w:r>
        <w:t xml:space="preserve">How to support Option </w:t>
      </w:r>
      <w:r w:rsidR="009F3BF1">
        <w:t>B</w:t>
      </w:r>
    </w:p>
    <w:p w14:paraId="7B0B8B34" w14:textId="77777777" w:rsidR="009F3BF1" w:rsidRDefault="009F3BF1" w:rsidP="009F3BF1">
      <w:pPr>
        <w:rPr>
          <w:rFonts w:ascii="Times New Roman" w:eastAsia="DengXian" w:hAnsi="Times New Roman"/>
          <w:sz w:val="22"/>
          <w:szCs w:val="22"/>
        </w:rPr>
      </w:pPr>
      <w:r>
        <w:rPr>
          <w:rFonts w:ascii="Times New Roman" w:eastAsia="DengXian" w:hAnsi="Times New Roman"/>
          <w:sz w:val="22"/>
          <w:szCs w:val="22"/>
        </w:rPr>
        <w:t xml:space="preserve">In RAN2 #131 AI-PHY, RAN2 has the following agreement on </w:t>
      </w:r>
      <w:proofErr w:type="spellStart"/>
      <w:r>
        <w:rPr>
          <w:rFonts w:ascii="Times New Roman" w:eastAsia="DengXian" w:hAnsi="Times New Roman"/>
          <w:i/>
          <w:iCs/>
          <w:sz w:val="22"/>
          <w:szCs w:val="22"/>
        </w:rPr>
        <w:t>OtherConfig</w:t>
      </w:r>
      <w:proofErr w:type="spellEnd"/>
      <w:r>
        <w:rPr>
          <w:rFonts w:ascii="Times New Roman" w:eastAsia="DengXian" w:hAnsi="Times New Roman"/>
          <w:sz w:val="22"/>
          <w:szCs w:val="22"/>
        </w:rPr>
        <w:t xml:space="preserve"> for option B. </w:t>
      </w:r>
    </w:p>
    <w:tbl>
      <w:tblPr>
        <w:tblStyle w:val="af"/>
        <w:tblW w:w="0" w:type="auto"/>
        <w:tblInd w:w="1165" w:type="dxa"/>
        <w:tblLook w:val="04A0" w:firstRow="1" w:lastRow="0" w:firstColumn="1" w:lastColumn="0" w:noHBand="0" w:noVBand="1"/>
      </w:tblPr>
      <w:tblGrid>
        <w:gridCol w:w="8572"/>
      </w:tblGrid>
      <w:tr w:rsidR="009F3BF1" w14:paraId="4789DC8E" w14:textId="77777777" w:rsidTr="009F3BF1">
        <w:tc>
          <w:tcPr>
            <w:tcW w:w="8572" w:type="dxa"/>
            <w:tcBorders>
              <w:top w:val="single" w:sz="4" w:space="0" w:color="auto"/>
              <w:left w:val="single" w:sz="4" w:space="0" w:color="auto"/>
              <w:bottom w:val="single" w:sz="4" w:space="0" w:color="auto"/>
              <w:right w:val="single" w:sz="4" w:space="0" w:color="auto"/>
            </w:tcBorders>
            <w:hideMark/>
          </w:tcPr>
          <w:p w14:paraId="04E831AC" w14:textId="77777777" w:rsidR="009F3BF1" w:rsidRDefault="009F3BF1">
            <w:pPr>
              <w:pStyle w:val="Doc-text2"/>
              <w:ind w:left="363"/>
              <w:rPr>
                <w:b/>
                <w:bCs/>
                <w:lang w:val="en-GB" w:eastAsia="en-GB"/>
              </w:rPr>
            </w:pPr>
            <w:r>
              <w:rPr>
                <w:b/>
                <w:bCs/>
                <w:lang w:eastAsia="zh-CN"/>
              </w:rPr>
              <w:t>Agreements  Other Config for option B</w:t>
            </w:r>
          </w:p>
          <w:p w14:paraId="5AC636A0" w14:textId="77777777" w:rsidR="009F3BF1" w:rsidRDefault="009F3BF1" w:rsidP="009F3BF1">
            <w:pPr>
              <w:pStyle w:val="Doc-text2"/>
              <w:numPr>
                <w:ilvl w:val="0"/>
                <w:numId w:val="56"/>
              </w:numPr>
              <w:ind w:left="360"/>
              <w:rPr>
                <w:highlight w:val="yellow"/>
                <w:lang w:eastAsia="zh-CN"/>
              </w:rPr>
            </w:pPr>
            <w:r>
              <w:rPr>
                <w:highlight w:val="yellow"/>
                <w:lang w:eastAsia="zh-CN"/>
              </w:rPr>
              <w:t xml:space="preserve">RAN2 confirms that UE receives </w:t>
            </w:r>
            <w:proofErr w:type="spellStart"/>
            <w:r>
              <w:rPr>
                <w:highlight w:val="yellow"/>
                <w:lang w:eastAsia="zh-CN"/>
              </w:rPr>
              <w:t>RRCReconfiguration</w:t>
            </w:r>
            <w:proofErr w:type="spellEnd"/>
            <w:r>
              <w:rPr>
                <w:highlight w:val="yellow"/>
                <w:lang w:eastAsia="zh-CN"/>
              </w:rPr>
              <w:t xml:space="preserve"> message including one set or multiple sets of inference related parameters via </w:t>
            </w:r>
            <w:proofErr w:type="spellStart"/>
            <w:r>
              <w:rPr>
                <w:highlight w:val="yellow"/>
                <w:lang w:eastAsia="zh-CN"/>
              </w:rPr>
              <w:t>OtherConfig</w:t>
            </w:r>
            <w:proofErr w:type="spellEnd"/>
            <w:r>
              <w:rPr>
                <w:highlight w:val="yellow"/>
                <w:lang w:eastAsia="zh-CN"/>
              </w:rPr>
              <w:t xml:space="preserve"> for option B.</w:t>
            </w:r>
          </w:p>
          <w:p w14:paraId="012A793C" w14:textId="77777777" w:rsidR="009F3BF1" w:rsidRDefault="009F3BF1" w:rsidP="009F3BF1">
            <w:pPr>
              <w:pStyle w:val="Doc-text2"/>
              <w:numPr>
                <w:ilvl w:val="0"/>
                <w:numId w:val="56"/>
              </w:numPr>
              <w:ind w:left="360"/>
              <w:rPr>
                <w:lang w:eastAsia="zh-CN"/>
              </w:rPr>
            </w:pPr>
            <w:r>
              <w:rPr>
                <w:lang w:eastAsia="zh-CN"/>
              </w:rPr>
              <w:t xml:space="preserve">For Option B for BM Case 1/2, one set or multiple sets of inference related parameters can be configured in </w:t>
            </w:r>
            <w:proofErr w:type="spellStart"/>
            <w:r>
              <w:rPr>
                <w:lang w:eastAsia="zh-CN"/>
              </w:rPr>
              <w:t>OtherConfig</w:t>
            </w:r>
            <w:proofErr w:type="spellEnd"/>
            <w:r>
              <w:rPr>
                <w:lang w:eastAsia="zh-CN"/>
              </w:rPr>
              <w:t xml:space="preserve">, where each set in </w:t>
            </w:r>
            <w:proofErr w:type="spellStart"/>
            <w:r>
              <w:rPr>
                <w:lang w:eastAsia="zh-CN"/>
              </w:rPr>
              <w:t>OtherConfig</w:t>
            </w:r>
            <w:proofErr w:type="spellEnd"/>
            <w:r>
              <w:rPr>
                <w:lang w:eastAsia="zh-CN"/>
              </w:rPr>
              <w:t xml:space="preserve"> contains the following parameters according to RAN1#121 agreement:</w:t>
            </w:r>
          </w:p>
          <w:p w14:paraId="5579B5DB" w14:textId="77777777" w:rsidR="009F3BF1" w:rsidRDefault="009F3BF1">
            <w:pPr>
              <w:pStyle w:val="Doc-text2"/>
              <w:ind w:left="360" w:firstLine="0"/>
              <w:rPr>
                <w:lang w:eastAsia="zh-CN"/>
              </w:rPr>
            </w:pPr>
            <w:r>
              <w:rPr>
                <w:lang w:eastAsia="zh-CN"/>
              </w:rPr>
              <w:t xml:space="preserve">associatedIDforSetA-r19, resourcesForSetA-r19, </w:t>
            </w:r>
            <w:proofErr w:type="spellStart"/>
            <w:r>
              <w:rPr>
                <w:lang w:eastAsia="zh-CN"/>
              </w:rPr>
              <w:t>resourcesForChannelMeasurement</w:t>
            </w:r>
            <w:proofErr w:type="spellEnd"/>
            <w:r>
              <w:rPr>
                <w:lang w:eastAsia="zh-CN"/>
              </w:rPr>
              <w:t xml:space="preserve">, associatedIDforSetB-r19, reportQuantity-r19, </w:t>
            </w:r>
            <w:proofErr w:type="spellStart"/>
            <w:r>
              <w:rPr>
                <w:lang w:eastAsia="zh-CN"/>
              </w:rPr>
              <w:t>reportConfigType</w:t>
            </w:r>
            <w:proofErr w:type="spellEnd"/>
            <w:r>
              <w:rPr>
                <w:lang w:eastAsia="zh-CN"/>
              </w:rPr>
              <w:t>, nrofreportedpredictedrs-r19, TimeGap-r19, nroftimeinstance-r19, applicabilityConfigId-r19.</w:t>
            </w:r>
          </w:p>
          <w:p w14:paraId="39428234" w14:textId="77777777" w:rsidR="009F3BF1" w:rsidRDefault="009F3BF1" w:rsidP="009F3BF1">
            <w:pPr>
              <w:pStyle w:val="Doc-text2"/>
              <w:numPr>
                <w:ilvl w:val="0"/>
                <w:numId w:val="56"/>
              </w:numPr>
              <w:ind w:left="360"/>
              <w:rPr>
                <w:lang w:eastAsia="zh-CN"/>
              </w:rPr>
            </w:pPr>
            <w:r>
              <w:rPr>
                <w:lang w:eastAsia="zh-CN"/>
              </w:rPr>
              <w:t>For Option B for BM Case 1/2, inference related parameter set is configured per serving cell.</w:t>
            </w:r>
          </w:p>
        </w:tc>
      </w:tr>
    </w:tbl>
    <w:p w14:paraId="0EDF215C" w14:textId="77777777" w:rsidR="009F3BF1" w:rsidRDefault="009F3BF1" w:rsidP="009F3BF1">
      <w:pPr>
        <w:rPr>
          <w:rFonts w:ascii="Times New Roman" w:eastAsia="DengXian" w:hAnsi="Times New Roman"/>
          <w:sz w:val="22"/>
          <w:szCs w:val="22"/>
        </w:rPr>
      </w:pPr>
      <w:r>
        <w:rPr>
          <w:rFonts w:ascii="Times New Roman" w:eastAsia="DengXian" w:hAnsi="Times New Roman"/>
          <w:sz w:val="22"/>
          <w:szCs w:val="22"/>
        </w:rPr>
        <w:t xml:space="preserve">For Option B, NW will provide the one or multiple set of inference parameters to UE via </w:t>
      </w:r>
      <w:proofErr w:type="spellStart"/>
      <w:r>
        <w:rPr>
          <w:rFonts w:ascii="Times New Roman" w:eastAsia="DengXian" w:hAnsi="Times New Roman"/>
          <w:sz w:val="22"/>
          <w:szCs w:val="22"/>
        </w:rPr>
        <w:t>OtherConfig</w:t>
      </w:r>
      <w:proofErr w:type="spellEnd"/>
      <w:r>
        <w:rPr>
          <w:rFonts w:ascii="Times New Roman" w:eastAsia="DengXian" w:hAnsi="Times New Roman"/>
          <w:sz w:val="22"/>
          <w:szCs w:val="22"/>
        </w:rPr>
        <w:t xml:space="preserve">. For AI-BM use case, the inference parameter set is configured per serving cell. In AI mobility, this is inapplicable. In our perspective, </w:t>
      </w:r>
      <w:r>
        <w:rPr>
          <w:rFonts w:ascii="Times New Roman" w:eastAsia="DengXian" w:hAnsi="Times New Roman"/>
          <w:sz w:val="22"/>
          <w:szCs w:val="22"/>
        </w:rPr>
        <w:lastRenderedPageBreak/>
        <w:t>the minimal granularity is per MO. One possible modification is to have the inference parameters configured per MO. To enable the UE to know which set of parameters corresponds to which MO(s), there are two options:</w:t>
      </w:r>
    </w:p>
    <w:p w14:paraId="210F7DDF" w14:textId="7791D840" w:rsidR="009F3BF1" w:rsidRDefault="009F3BF1" w:rsidP="009F3BF1">
      <w:pPr>
        <w:pStyle w:val="af0"/>
        <w:numPr>
          <w:ilvl w:val="0"/>
          <w:numId w:val="76"/>
        </w:numPr>
        <w:ind w:leftChars="0"/>
        <w:rPr>
          <w:rFonts w:ascii="Times New Roman" w:eastAsia="DengXian" w:hAnsi="Times New Roman"/>
          <w:sz w:val="22"/>
          <w:szCs w:val="22"/>
        </w:rPr>
      </w:pPr>
      <w:r>
        <w:rPr>
          <w:rFonts w:ascii="Times New Roman" w:eastAsia="DengXian" w:hAnsi="Times New Roman"/>
          <w:sz w:val="22"/>
          <w:szCs w:val="22"/>
        </w:rPr>
        <w:t>Assumption 1:</w:t>
      </w:r>
      <w:r w:rsidR="005262F2">
        <w:rPr>
          <w:rFonts w:ascii="Times New Roman" w:eastAsia="DengXian" w:hAnsi="Times New Roman"/>
          <w:sz w:val="22"/>
          <w:szCs w:val="22"/>
        </w:rPr>
        <w:t xml:space="preserve"> </w:t>
      </w:r>
      <w:r w:rsidR="005262F2" w:rsidRPr="005262F2">
        <w:rPr>
          <w:rFonts w:ascii="Times New Roman" w:eastAsia="DengXian" w:hAnsi="Times New Roman"/>
          <w:sz w:val="22"/>
          <w:szCs w:val="22"/>
        </w:rPr>
        <w:t xml:space="preserve">RAN2 assumes the UE can still receive full configuration i.e. MO information from </w:t>
      </w:r>
      <w:proofErr w:type="spellStart"/>
      <w:r w:rsidR="005262F2" w:rsidRPr="005262F2">
        <w:rPr>
          <w:rFonts w:ascii="Times New Roman" w:eastAsia="DengXian" w:hAnsi="Times New Roman"/>
          <w:i/>
          <w:iCs/>
          <w:sz w:val="22"/>
          <w:szCs w:val="22"/>
        </w:rPr>
        <w:t>MeasConfig</w:t>
      </w:r>
      <w:proofErr w:type="spellEnd"/>
      <w:r w:rsidR="005262F2" w:rsidRPr="005262F2">
        <w:rPr>
          <w:rFonts w:ascii="Times New Roman" w:eastAsia="DengXian" w:hAnsi="Times New Roman"/>
          <w:sz w:val="22"/>
          <w:szCs w:val="22"/>
        </w:rPr>
        <w:t xml:space="preserve"> as Option A in step 3, in addition,  </w:t>
      </w:r>
      <w:proofErr w:type="spellStart"/>
      <w:r w:rsidR="005262F2" w:rsidRPr="005262F2">
        <w:rPr>
          <w:rFonts w:ascii="Times New Roman" w:eastAsia="DengXian" w:hAnsi="Times New Roman"/>
          <w:i/>
          <w:iCs/>
          <w:sz w:val="22"/>
          <w:szCs w:val="22"/>
        </w:rPr>
        <w:t>OtherConfig</w:t>
      </w:r>
      <w:proofErr w:type="spellEnd"/>
      <w:r w:rsidR="005262F2" w:rsidRPr="005262F2">
        <w:rPr>
          <w:rFonts w:ascii="Times New Roman" w:eastAsia="DengXian" w:hAnsi="Times New Roman"/>
          <w:sz w:val="22"/>
          <w:szCs w:val="22"/>
        </w:rPr>
        <w:t xml:space="preserve"> will carry </w:t>
      </w:r>
      <w:proofErr w:type="spellStart"/>
      <w:r w:rsidR="005262F2" w:rsidRPr="005262F2">
        <w:rPr>
          <w:rFonts w:ascii="Times New Roman" w:eastAsia="DengXian" w:hAnsi="Times New Roman"/>
          <w:i/>
          <w:iCs/>
          <w:sz w:val="22"/>
          <w:szCs w:val="22"/>
        </w:rPr>
        <w:t>MeasObjectId</w:t>
      </w:r>
      <w:proofErr w:type="spellEnd"/>
      <w:r w:rsidR="005262F2" w:rsidRPr="005262F2">
        <w:rPr>
          <w:rFonts w:ascii="Times New Roman" w:eastAsia="DengXian" w:hAnsi="Times New Roman"/>
          <w:sz w:val="22"/>
          <w:szCs w:val="22"/>
        </w:rPr>
        <w:t xml:space="preserve"> or </w:t>
      </w:r>
      <w:proofErr w:type="spellStart"/>
      <w:r w:rsidR="005262F2" w:rsidRPr="005262F2">
        <w:rPr>
          <w:rFonts w:ascii="Times New Roman" w:eastAsia="DengXian" w:hAnsi="Times New Roman"/>
          <w:i/>
          <w:iCs/>
          <w:sz w:val="22"/>
          <w:szCs w:val="22"/>
        </w:rPr>
        <w:t>InferenceId</w:t>
      </w:r>
      <w:proofErr w:type="spellEnd"/>
      <w:r w:rsidR="005262F2" w:rsidRPr="005262F2">
        <w:rPr>
          <w:rFonts w:ascii="Times New Roman" w:eastAsia="DengXian" w:hAnsi="Times New Roman"/>
          <w:sz w:val="22"/>
          <w:szCs w:val="22"/>
        </w:rPr>
        <w:t xml:space="preserve"> to link the inference parameters in the corresponding MO for option B</w:t>
      </w:r>
    </w:p>
    <w:p w14:paraId="6A5C975F" w14:textId="77777777" w:rsidR="009F3BF1" w:rsidRDefault="009F3BF1" w:rsidP="009F3BF1">
      <w:pPr>
        <w:pStyle w:val="af0"/>
        <w:numPr>
          <w:ilvl w:val="0"/>
          <w:numId w:val="76"/>
        </w:numPr>
        <w:ind w:leftChars="0"/>
        <w:rPr>
          <w:rFonts w:ascii="Times New Roman" w:eastAsia="DengXian" w:hAnsi="Times New Roman"/>
          <w:sz w:val="22"/>
          <w:szCs w:val="22"/>
        </w:rPr>
      </w:pPr>
      <w:r>
        <w:rPr>
          <w:rFonts w:ascii="Times New Roman" w:eastAsia="DengXian" w:hAnsi="Times New Roman"/>
          <w:sz w:val="22"/>
          <w:szCs w:val="22"/>
        </w:rPr>
        <w:t xml:space="preserve">Assumption 2: RAN2 assumes </w:t>
      </w:r>
      <w:proofErr w:type="spellStart"/>
      <w:r>
        <w:rPr>
          <w:rFonts w:ascii="Times New Roman" w:eastAsia="DengXian" w:hAnsi="Times New Roman"/>
          <w:i/>
          <w:iCs/>
          <w:sz w:val="22"/>
          <w:szCs w:val="22"/>
        </w:rPr>
        <w:t>OtherConfig</w:t>
      </w:r>
      <w:proofErr w:type="spellEnd"/>
      <w:r>
        <w:rPr>
          <w:rFonts w:ascii="Times New Roman" w:eastAsia="DengXian" w:hAnsi="Times New Roman"/>
          <w:sz w:val="22"/>
          <w:szCs w:val="22"/>
        </w:rPr>
        <w:t xml:space="preserve"> itself contains MO information and the corresponding mapping of sets of inference parameters.</w:t>
      </w:r>
    </w:p>
    <w:p w14:paraId="7D27FCA9" w14:textId="109476F3" w:rsidR="009F3BF1" w:rsidRDefault="009F3BF1" w:rsidP="009F3BF1">
      <w:pPr>
        <w:rPr>
          <w:rFonts w:ascii="Times New Roman" w:eastAsia="DengXian" w:hAnsi="Times New Roman"/>
          <w:sz w:val="22"/>
          <w:szCs w:val="22"/>
        </w:rPr>
      </w:pPr>
      <w:r>
        <w:rPr>
          <w:rFonts w:ascii="Times New Roman" w:eastAsia="DengXian" w:hAnsi="Times New Roman"/>
          <w:sz w:val="22"/>
          <w:szCs w:val="22"/>
        </w:rPr>
        <w:t xml:space="preserve">For Assumption 1, the MO index can be easily connected to the set of inference parameters via </w:t>
      </w:r>
      <w:proofErr w:type="spellStart"/>
      <w:r>
        <w:rPr>
          <w:rFonts w:ascii="Times New Roman" w:eastAsia="DengXian" w:hAnsi="Times New Roman"/>
          <w:i/>
          <w:iCs/>
          <w:sz w:val="22"/>
          <w:szCs w:val="22"/>
        </w:rPr>
        <w:t>MeasObjectId</w:t>
      </w:r>
      <w:proofErr w:type="spellEnd"/>
      <w:r>
        <w:rPr>
          <w:rFonts w:ascii="Times New Roman" w:eastAsia="DengXian" w:hAnsi="Times New Roman"/>
          <w:sz w:val="22"/>
          <w:szCs w:val="22"/>
        </w:rPr>
        <w:t xml:space="preserve"> or </w:t>
      </w:r>
      <w:proofErr w:type="spellStart"/>
      <w:r>
        <w:rPr>
          <w:rFonts w:ascii="Times New Roman" w:eastAsia="DengXian" w:hAnsi="Times New Roman"/>
          <w:i/>
          <w:iCs/>
          <w:sz w:val="22"/>
          <w:szCs w:val="22"/>
        </w:rPr>
        <w:t>InferenceId</w:t>
      </w:r>
      <w:proofErr w:type="spellEnd"/>
      <w:r>
        <w:rPr>
          <w:rFonts w:ascii="Times New Roman" w:eastAsia="DengXian" w:hAnsi="Times New Roman"/>
          <w:sz w:val="22"/>
          <w:szCs w:val="22"/>
        </w:rPr>
        <w:t xml:space="preserve">. However, this assumes that the detailed configuration of </w:t>
      </w:r>
      <w:proofErr w:type="spellStart"/>
      <w:r>
        <w:rPr>
          <w:rFonts w:ascii="Times New Roman" w:eastAsia="DengXian" w:hAnsi="Times New Roman"/>
          <w:i/>
          <w:iCs/>
          <w:sz w:val="22"/>
          <w:szCs w:val="22"/>
        </w:rPr>
        <w:t>MeasConfig</w:t>
      </w:r>
      <w:proofErr w:type="spellEnd"/>
      <w:r>
        <w:rPr>
          <w:rFonts w:ascii="Times New Roman" w:eastAsia="DengXian" w:hAnsi="Times New Roman"/>
          <w:sz w:val="22"/>
          <w:szCs w:val="22"/>
        </w:rPr>
        <w:t xml:space="preserve"> is still needed for Option B,</w:t>
      </w:r>
      <w:r w:rsidR="005262F2">
        <w:rPr>
          <w:rFonts w:ascii="Times New Roman" w:eastAsia="DengXian" w:hAnsi="Times New Roman"/>
          <w:sz w:val="22"/>
          <w:szCs w:val="22"/>
        </w:rPr>
        <w:t xml:space="preserve"> ,</w:t>
      </w:r>
      <w:r w:rsidR="005262F2" w:rsidRPr="005262F2">
        <w:rPr>
          <w:rFonts w:ascii="Times New Roman" w:eastAsia="DengXian" w:hAnsi="Times New Roman"/>
          <w:sz w:val="22"/>
          <w:szCs w:val="22"/>
        </w:rPr>
        <w:t>which somewhat undermines the original advantage of Option B in reducing configuration overhead.</w:t>
      </w:r>
      <w:r>
        <w:rPr>
          <w:rFonts w:ascii="Times New Roman" w:eastAsia="DengXian" w:hAnsi="Times New Roman"/>
          <w:sz w:val="22"/>
          <w:szCs w:val="22"/>
        </w:rPr>
        <w:t>.</w:t>
      </w:r>
    </w:p>
    <w:p w14:paraId="0214E7D8" w14:textId="77777777" w:rsidR="009F3BF1" w:rsidRDefault="009F3BF1" w:rsidP="009F3BF1">
      <w:pPr>
        <w:rPr>
          <w:rFonts w:ascii="Times New Roman" w:eastAsia="DengXian" w:hAnsi="Times New Roman"/>
          <w:sz w:val="22"/>
          <w:szCs w:val="22"/>
        </w:rPr>
      </w:pPr>
      <w:r>
        <w:rPr>
          <w:rFonts w:ascii="Times New Roman" w:eastAsia="DengXian" w:hAnsi="Times New Roman"/>
          <w:sz w:val="22"/>
          <w:szCs w:val="22"/>
        </w:rPr>
        <w:t xml:space="preserve">Another possibility is that, in step 3, the NW does not provide the UE with relevant MO information through </w:t>
      </w:r>
      <w:proofErr w:type="spellStart"/>
      <w:r>
        <w:rPr>
          <w:rFonts w:ascii="Times New Roman" w:eastAsia="DengXian" w:hAnsi="Times New Roman"/>
          <w:i/>
          <w:iCs/>
          <w:sz w:val="22"/>
          <w:szCs w:val="22"/>
        </w:rPr>
        <w:t>MeasConfig</w:t>
      </w:r>
      <w:proofErr w:type="spellEnd"/>
      <w:r>
        <w:rPr>
          <w:rFonts w:ascii="Times New Roman" w:eastAsia="DengXian" w:hAnsi="Times New Roman"/>
          <w:sz w:val="22"/>
          <w:szCs w:val="22"/>
        </w:rPr>
        <w:t xml:space="preserve">. However, when the UE reports applicability for each set of inference parameters, </w:t>
      </w:r>
      <w:proofErr w:type="spellStart"/>
      <w:r>
        <w:rPr>
          <w:rFonts w:ascii="Times New Roman" w:eastAsia="DengXian" w:hAnsi="Times New Roman"/>
          <w:i/>
          <w:iCs/>
          <w:sz w:val="22"/>
          <w:szCs w:val="22"/>
        </w:rPr>
        <w:t>OtherConfig</w:t>
      </w:r>
      <w:proofErr w:type="spellEnd"/>
      <w:r>
        <w:rPr>
          <w:rFonts w:ascii="Times New Roman" w:eastAsia="DengXian" w:hAnsi="Times New Roman"/>
          <w:sz w:val="22"/>
          <w:szCs w:val="22"/>
        </w:rPr>
        <w:t xml:space="preserve"> must include which set of inference parameters corresponds to which MO(s). If this is the case, RAN2 needs to discuss how to carry the MO information in </w:t>
      </w:r>
      <w:proofErr w:type="spellStart"/>
      <w:r>
        <w:rPr>
          <w:rFonts w:ascii="Times New Roman" w:eastAsia="DengXian" w:hAnsi="Times New Roman"/>
          <w:i/>
          <w:iCs/>
          <w:sz w:val="22"/>
          <w:szCs w:val="22"/>
        </w:rPr>
        <w:t>OtherConfig</w:t>
      </w:r>
      <w:proofErr w:type="spellEnd"/>
      <w:r>
        <w:rPr>
          <w:rFonts w:ascii="Times New Roman" w:eastAsia="DengXian" w:hAnsi="Times New Roman"/>
          <w:sz w:val="22"/>
          <w:szCs w:val="22"/>
        </w:rPr>
        <w:t>. Otherwise, the UE can only assume that all MOs must be supported.</w:t>
      </w:r>
    </w:p>
    <w:p w14:paraId="770EF41A" w14:textId="6A6058EB" w:rsidR="009F3BF1" w:rsidRDefault="009F3BF1" w:rsidP="009F3BF1">
      <w:pPr>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 xml:space="preserve">Proposal </w:t>
      </w:r>
      <w:r w:rsidR="00047F51">
        <w:rPr>
          <w:rFonts w:ascii="Times New Roman" w:eastAsiaTheme="minorEastAsia" w:hAnsi="Times New Roman"/>
          <w:b/>
          <w:bCs/>
          <w:sz w:val="22"/>
          <w:szCs w:val="22"/>
          <w:lang w:eastAsia="zh-TW"/>
        </w:rPr>
        <w:t>6</w:t>
      </w:r>
      <w:r>
        <w:rPr>
          <w:rFonts w:ascii="Times New Roman" w:eastAsiaTheme="minorEastAsia" w:hAnsi="Times New Roman"/>
          <w:b/>
          <w:bCs/>
          <w:sz w:val="22"/>
          <w:szCs w:val="22"/>
          <w:lang w:eastAsia="zh-TW"/>
        </w:rPr>
        <w:t xml:space="preserve">: </w:t>
      </w:r>
      <w:r w:rsidR="005262F2" w:rsidRPr="005262F2">
        <w:rPr>
          <w:rFonts w:ascii="Times New Roman" w:eastAsiaTheme="minorEastAsia" w:hAnsi="Times New Roman"/>
          <w:b/>
          <w:bCs/>
          <w:sz w:val="22"/>
          <w:szCs w:val="22"/>
          <w:lang w:eastAsia="zh-TW"/>
        </w:rPr>
        <w:t>RAN2 discuss whether the UE need to have the MO configuration v</w:t>
      </w:r>
      <w:r w:rsidR="005262F2">
        <w:rPr>
          <w:rFonts w:ascii="Times New Roman" w:eastAsiaTheme="minorEastAsia" w:hAnsi="Times New Roman"/>
          <w:b/>
          <w:bCs/>
          <w:sz w:val="22"/>
          <w:szCs w:val="22"/>
          <w:lang w:eastAsia="zh-TW"/>
        </w:rPr>
        <w:t>i</w:t>
      </w:r>
      <w:r w:rsidR="005262F2" w:rsidRPr="005262F2">
        <w:rPr>
          <w:rFonts w:ascii="Times New Roman" w:eastAsiaTheme="minorEastAsia" w:hAnsi="Times New Roman"/>
          <w:b/>
          <w:bCs/>
          <w:sz w:val="22"/>
          <w:szCs w:val="22"/>
          <w:lang w:eastAsia="zh-TW"/>
        </w:rPr>
        <w:t xml:space="preserve">a </w:t>
      </w:r>
      <w:proofErr w:type="spellStart"/>
      <w:r w:rsidR="005262F2" w:rsidRPr="001354B4">
        <w:rPr>
          <w:rFonts w:ascii="Times New Roman" w:eastAsiaTheme="minorEastAsia" w:hAnsi="Times New Roman"/>
          <w:b/>
          <w:bCs/>
          <w:i/>
          <w:iCs/>
          <w:sz w:val="22"/>
          <w:szCs w:val="22"/>
          <w:lang w:eastAsia="zh-TW"/>
        </w:rPr>
        <w:t>MeasConfig</w:t>
      </w:r>
      <w:proofErr w:type="spellEnd"/>
      <w:r w:rsidR="005262F2" w:rsidRPr="005262F2">
        <w:rPr>
          <w:rFonts w:ascii="Times New Roman" w:eastAsiaTheme="minorEastAsia" w:hAnsi="Times New Roman"/>
          <w:b/>
          <w:bCs/>
          <w:sz w:val="22"/>
          <w:szCs w:val="22"/>
          <w:lang w:eastAsia="zh-TW"/>
        </w:rPr>
        <w:t xml:space="preserve"> in step 3</w:t>
      </w:r>
      <w:r w:rsidR="005262F2">
        <w:rPr>
          <w:rFonts w:ascii="Times New Roman" w:eastAsiaTheme="minorEastAsia" w:hAnsi="Times New Roman"/>
          <w:b/>
          <w:bCs/>
          <w:sz w:val="22"/>
          <w:szCs w:val="22"/>
          <w:lang w:eastAsia="zh-TW"/>
        </w:rPr>
        <w:t>. If not, FFS how to indicate the link between the inference parameter</w:t>
      </w:r>
      <w:r w:rsidR="00BE5B94">
        <w:rPr>
          <w:rFonts w:ascii="Times New Roman" w:eastAsiaTheme="minorEastAsia" w:hAnsi="Times New Roman"/>
          <w:b/>
          <w:bCs/>
          <w:sz w:val="22"/>
          <w:szCs w:val="22"/>
          <w:lang w:eastAsia="zh-TW"/>
        </w:rPr>
        <w:t>s</w:t>
      </w:r>
      <w:r w:rsidR="005262F2">
        <w:rPr>
          <w:rFonts w:ascii="Times New Roman" w:eastAsiaTheme="minorEastAsia" w:hAnsi="Times New Roman"/>
          <w:b/>
          <w:bCs/>
          <w:sz w:val="22"/>
          <w:szCs w:val="22"/>
          <w:lang w:eastAsia="zh-TW"/>
        </w:rPr>
        <w:t xml:space="preserve"> and corresponding MO</w:t>
      </w:r>
      <w:r w:rsidR="00BE5B94">
        <w:rPr>
          <w:rFonts w:ascii="Times New Roman" w:eastAsiaTheme="minorEastAsia" w:hAnsi="Times New Roman"/>
          <w:b/>
          <w:bCs/>
          <w:sz w:val="22"/>
          <w:szCs w:val="22"/>
          <w:lang w:eastAsia="zh-TW"/>
        </w:rPr>
        <w:t>s</w:t>
      </w:r>
      <w:r w:rsidR="005262F2">
        <w:rPr>
          <w:rFonts w:ascii="Times New Roman" w:eastAsiaTheme="minorEastAsia" w:hAnsi="Times New Roman"/>
          <w:b/>
          <w:bCs/>
          <w:sz w:val="22"/>
          <w:szCs w:val="22"/>
          <w:lang w:eastAsia="zh-TW"/>
        </w:rPr>
        <w:t xml:space="preserve"> in </w:t>
      </w:r>
      <w:proofErr w:type="spellStart"/>
      <w:r w:rsidR="005262F2" w:rsidRPr="001354B4">
        <w:rPr>
          <w:rFonts w:ascii="Times New Roman" w:eastAsiaTheme="minorEastAsia" w:hAnsi="Times New Roman"/>
          <w:b/>
          <w:bCs/>
          <w:i/>
          <w:iCs/>
          <w:sz w:val="22"/>
          <w:szCs w:val="22"/>
          <w:lang w:eastAsia="zh-TW"/>
        </w:rPr>
        <w:t>OtherConfig</w:t>
      </w:r>
      <w:proofErr w:type="spellEnd"/>
      <w:r w:rsidR="005262F2">
        <w:rPr>
          <w:rFonts w:ascii="Times New Roman" w:eastAsiaTheme="minorEastAsia" w:hAnsi="Times New Roman"/>
          <w:b/>
          <w:bCs/>
          <w:sz w:val="22"/>
          <w:szCs w:val="22"/>
          <w:lang w:eastAsia="zh-TW"/>
        </w:rPr>
        <w:t>.</w:t>
      </w:r>
    </w:p>
    <w:p w14:paraId="11EB60B8" w14:textId="77777777" w:rsidR="001354B4" w:rsidRPr="009F3BF1" w:rsidRDefault="001354B4" w:rsidP="009F3BF1">
      <w:pPr>
        <w:rPr>
          <w:rFonts w:ascii="Times New Roman" w:eastAsiaTheme="minorEastAsia" w:hAnsi="Times New Roman"/>
          <w:b/>
          <w:bCs/>
          <w:sz w:val="22"/>
          <w:szCs w:val="22"/>
          <w:lang w:eastAsia="zh-TW"/>
        </w:rPr>
      </w:pPr>
    </w:p>
    <w:p w14:paraId="5C4F0B33" w14:textId="7DD228C0" w:rsidR="009F3BF1" w:rsidRDefault="009F3BF1" w:rsidP="009F3BF1">
      <w:pPr>
        <w:pStyle w:val="3"/>
        <w:tabs>
          <w:tab w:val="clear" w:pos="1145"/>
          <w:tab w:val="num" w:pos="810"/>
        </w:tabs>
      </w:pPr>
      <w:r>
        <w:t>Applicability Report Configuration</w:t>
      </w:r>
    </w:p>
    <w:p w14:paraId="35CE3C59" w14:textId="77777777" w:rsidR="009F3BF1" w:rsidRDefault="009F3BF1" w:rsidP="009F3BF1">
      <w:pPr>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One UE received the configuration in Step 3, it can determine applicability for each full inference configuration (Option A) or each set of inference parameters (Option B).</w:t>
      </w:r>
    </w:p>
    <w:p w14:paraId="43EE03BD" w14:textId="77777777" w:rsidR="009F3BF1" w:rsidRDefault="009F3BF1" w:rsidP="009F3BF1">
      <w:pPr>
        <w:rPr>
          <w:rFonts w:ascii="Times New Roman" w:eastAsia="DengXian" w:hAnsi="Times New Roman"/>
          <w:sz w:val="22"/>
          <w:szCs w:val="22"/>
          <w:lang w:val="en-US"/>
        </w:rPr>
      </w:pPr>
      <w:r>
        <w:rPr>
          <w:rFonts w:ascii="Times New Roman" w:eastAsia="DengXian" w:hAnsi="Times New Roman"/>
          <w:sz w:val="22"/>
          <w:szCs w:val="22"/>
          <w:lang w:val="en-US"/>
        </w:rPr>
        <w:t xml:space="preserve">For Option A, the </w:t>
      </w:r>
      <w:proofErr w:type="spellStart"/>
      <w:r>
        <w:rPr>
          <w:rFonts w:ascii="Times New Roman" w:eastAsia="DengXian" w:hAnsi="Times New Roman"/>
          <w:i/>
          <w:iCs/>
          <w:sz w:val="22"/>
          <w:szCs w:val="22"/>
          <w:lang w:val="en-US"/>
        </w:rPr>
        <w:t>inferenceId</w:t>
      </w:r>
      <w:proofErr w:type="spellEnd"/>
      <w:r>
        <w:rPr>
          <w:rFonts w:ascii="Times New Roman" w:eastAsia="DengXian" w:hAnsi="Times New Roman"/>
          <w:sz w:val="22"/>
          <w:szCs w:val="22"/>
          <w:lang w:val="en-US"/>
        </w:rPr>
        <w:t xml:space="preserve"> can be used to indicate the ID of a configuration for which the UE should report applicability. For Option B, following the AI-PHY configuration, RAN2 considers using </w:t>
      </w:r>
      <w:proofErr w:type="spellStart"/>
      <w:r>
        <w:rPr>
          <w:rFonts w:ascii="Times New Roman" w:eastAsia="DengXian" w:hAnsi="Times New Roman"/>
          <w:i/>
          <w:iCs/>
          <w:sz w:val="22"/>
          <w:szCs w:val="22"/>
          <w:lang w:val="en-US"/>
        </w:rPr>
        <w:t>applicabilitySetConfId</w:t>
      </w:r>
      <w:proofErr w:type="spellEnd"/>
      <w:r>
        <w:rPr>
          <w:rFonts w:ascii="Times New Roman" w:eastAsia="DengXian" w:hAnsi="Times New Roman"/>
          <w:sz w:val="22"/>
          <w:szCs w:val="22"/>
          <w:lang w:val="en-US"/>
        </w:rPr>
        <w:t xml:space="preserve"> to indicate the ID of a set of inference parameters for which the UE should report applicability. </w:t>
      </w:r>
    </w:p>
    <w:p w14:paraId="1D124899" w14:textId="77777777" w:rsidR="009F3BF1" w:rsidRDefault="009F3BF1" w:rsidP="009F3BF1">
      <w:pPr>
        <w:rPr>
          <w:rFonts w:ascii="Times New Roman" w:eastAsia="DengXian" w:hAnsi="Times New Roman"/>
          <w:sz w:val="22"/>
          <w:szCs w:val="22"/>
          <w:lang w:val="en-US"/>
        </w:rPr>
      </w:pPr>
      <w:r>
        <w:rPr>
          <w:rFonts w:ascii="Times New Roman" w:eastAsia="DengXian" w:hAnsi="Times New Roman"/>
          <w:sz w:val="22"/>
          <w:szCs w:val="22"/>
          <w:lang w:val="en-US"/>
        </w:rPr>
        <w:t>For both Option A and Option B, the UE will report its applicability through (1)</w:t>
      </w:r>
      <w:r>
        <w:rPr>
          <w:rFonts w:ascii="Times New Roman" w:eastAsia="DengXian" w:hAnsi="Times New Roman"/>
          <w:i/>
          <w:iCs/>
          <w:sz w:val="22"/>
          <w:szCs w:val="22"/>
          <w:lang w:val="en-US"/>
        </w:rPr>
        <w:t xml:space="preserve"> </w:t>
      </w:r>
      <w:proofErr w:type="spellStart"/>
      <w:r>
        <w:rPr>
          <w:rFonts w:ascii="Times New Roman" w:eastAsia="DengXian" w:hAnsi="Times New Roman"/>
          <w:i/>
          <w:iCs/>
          <w:sz w:val="22"/>
          <w:szCs w:val="22"/>
          <w:lang w:val="en-US"/>
        </w:rPr>
        <w:t>RRCReconfigurationComplete</w:t>
      </w:r>
      <w:proofErr w:type="spellEnd"/>
      <w:r>
        <w:rPr>
          <w:rFonts w:ascii="Times New Roman" w:eastAsia="DengXian" w:hAnsi="Times New Roman"/>
          <w:sz w:val="22"/>
          <w:szCs w:val="22"/>
          <w:lang w:val="en-US"/>
        </w:rPr>
        <w:t xml:space="preserve"> and (2) UAI, via </w:t>
      </w:r>
      <w:proofErr w:type="spellStart"/>
      <w:r>
        <w:rPr>
          <w:rFonts w:ascii="Times New Roman" w:eastAsia="DengXian" w:hAnsi="Times New Roman"/>
          <w:i/>
          <w:iCs/>
          <w:sz w:val="22"/>
          <w:szCs w:val="22"/>
          <w:lang w:val="en-US"/>
        </w:rPr>
        <w:t>ApplicabilityReportList</w:t>
      </w:r>
      <w:proofErr w:type="spellEnd"/>
      <w:r>
        <w:rPr>
          <w:rFonts w:ascii="Times New Roman" w:eastAsia="DengXian" w:hAnsi="Times New Roman"/>
          <w:sz w:val="22"/>
          <w:szCs w:val="22"/>
          <w:lang w:val="en-US"/>
        </w:rPr>
        <w:t>.</w:t>
      </w:r>
    </w:p>
    <w:p w14:paraId="6177CE60" w14:textId="5D135FFC" w:rsidR="009F3BF1" w:rsidRDefault="009F3BF1" w:rsidP="009F3BF1">
      <w:pPr>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Proposal </w:t>
      </w:r>
      <w:r w:rsidR="006E74C2">
        <w:rPr>
          <w:rFonts w:ascii="Times New Roman" w:eastAsia="DengXian" w:hAnsi="Times New Roman"/>
          <w:b/>
          <w:bCs/>
          <w:sz w:val="22"/>
          <w:szCs w:val="22"/>
          <w:lang w:val="en-US"/>
        </w:rPr>
        <w:t>7</w:t>
      </w:r>
      <w:r>
        <w:rPr>
          <w:rFonts w:ascii="Times New Roman" w:eastAsia="DengXian" w:hAnsi="Times New Roman"/>
          <w:b/>
          <w:bCs/>
          <w:sz w:val="22"/>
          <w:szCs w:val="22"/>
          <w:lang w:val="en-US"/>
        </w:rPr>
        <w:t>: For applicability determination procedure,</w:t>
      </w:r>
    </w:p>
    <w:p w14:paraId="4C352CF0" w14:textId="77777777" w:rsidR="009F3BF1" w:rsidRDefault="009F3BF1" w:rsidP="009F3BF1">
      <w:pPr>
        <w:pStyle w:val="af0"/>
        <w:numPr>
          <w:ilvl w:val="0"/>
          <w:numId w:val="70"/>
        </w:numPr>
        <w:ind w:leftChars="0"/>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Option A: UE determine applicability for each full inference configuration contained in </w:t>
      </w:r>
      <w:proofErr w:type="spellStart"/>
      <w:r>
        <w:rPr>
          <w:rFonts w:ascii="Times New Roman" w:eastAsia="DengXian" w:hAnsi="Times New Roman"/>
          <w:b/>
          <w:bCs/>
          <w:i/>
          <w:iCs/>
          <w:sz w:val="22"/>
          <w:szCs w:val="22"/>
          <w:lang w:val="en-US"/>
        </w:rPr>
        <w:t>MeasConfig</w:t>
      </w:r>
      <w:proofErr w:type="spellEnd"/>
      <w:r>
        <w:rPr>
          <w:rFonts w:ascii="Times New Roman" w:eastAsia="DengXian" w:hAnsi="Times New Roman"/>
          <w:b/>
          <w:bCs/>
          <w:sz w:val="22"/>
          <w:szCs w:val="22"/>
          <w:lang w:val="en-US"/>
        </w:rPr>
        <w:t xml:space="preserve">. </w:t>
      </w:r>
      <w:proofErr w:type="spellStart"/>
      <w:r>
        <w:rPr>
          <w:rFonts w:ascii="Times New Roman" w:eastAsia="DengXian" w:hAnsi="Times New Roman"/>
          <w:b/>
          <w:bCs/>
          <w:i/>
          <w:iCs/>
          <w:sz w:val="22"/>
          <w:szCs w:val="22"/>
          <w:lang w:val="en-US"/>
        </w:rPr>
        <w:t>InferenceId</w:t>
      </w:r>
      <w:proofErr w:type="spellEnd"/>
      <w:r>
        <w:rPr>
          <w:rFonts w:ascii="Times New Roman" w:eastAsia="DengXian" w:hAnsi="Times New Roman"/>
          <w:b/>
          <w:bCs/>
          <w:sz w:val="22"/>
          <w:szCs w:val="22"/>
          <w:lang w:val="en-US"/>
        </w:rPr>
        <w:t xml:space="preserve"> can be used to indicate the ID of the configuration for applicability report. </w:t>
      </w:r>
    </w:p>
    <w:p w14:paraId="41503134" w14:textId="565BC7E0" w:rsidR="009F3BF1" w:rsidRPr="00521153" w:rsidRDefault="009F3BF1" w:rsidP="00235672">
      <w:pPr>
        <w:pStyle w:val="af0"/>
        <w:numPr>
          <w:ilvl w:val="0"/>
          <w:numId w:val="70"/>
        </w:numPr>
        <w:ind w:leftChars="0"/>
        <w:rPr>
          <w:lang w:val="en-US"/>
        </w:rPr>
      </w:pPr>
      <w:r w:rsidRPr="00521153">
        <w:rPr>
          <w:rFonts w:ascii="Times New Roman" w:eastAsia="DengXian" w:hAnsi="Times New Roman"/>
          <w:b/>
          <w:bCs/>
          <w:sz w:val="22"/>
          <w:szCs w:val="22"/>
          <w:lang w:val="en-US"/>
        </w:rPr>
        <w:t xml:space="preserve">Option B: UE determine applicability for each set of inference parameters contained in </w:t>
      </w:r>
      <w:proofErr w:type="spellStart"/>
      <w:r w:rsidRPr="00521153">
        <w:rPr>
          <w:rFonts w:ascii="Times New Roman" w:eastAsia="DengXian" w:hAnsi="Times New Roman"/>
          <w:b/>
          <w:bCs/>
          <w:i/>
          <w:iCs/>
          <w:sz w:val="22"/>
          <w:szCs w:val="22"/>
          <w:lang w:val="en-US"/>
        </w:rPr>
        <w:t>OtherConfig</w:t>
      </w:r>
      <w:proofErr w:type="spellEnd"/>
      <w:r w:rsidRPr="00521153">
        <w:rPr>
          <w:rFonts w:ascii="Times New Roman" w:eastAsia="DengXian" w:hAnsi="Times New Roman"/>
          <w:b/>
          <w:bCs/>
          <w:sz w:val="22"/>
          <w:szCs w:val="22"/>
          <w:lang w:val="en-US"/>
        </w:rPr>
        <w:t xml:space="preserve">. </w:t>
      </w:r>
      <w:proofErr w:type="spellStart"/>
      <w:r w:rsidRPr="00521153">
        <w:rPr>
          <w:rFonts w:ascii="Times New Roman" w:eastAsia="DengXian" w:hAnsi="Times New Roman"/>
          <w:b/>
          <w:bCs/>
          <w:i/>
          <w:iCs/>
          <w:sz w:val="22"/>
          <w:szCs w:val="22"/>
          <w:lang w:val="en-US"/>
        </w:rPr>
        <w:t>applicabilitySetConfigId</w:t>
      </w:r>
      <w:proofErr w:type="spellEnd"/>
      <w:r w:rsidRPr="00521153">
        <w:rPr>
          <w:rFonts w:ascii="Times New Roman" w:eastAsia="DengXian" w:hAnsi="Times New Roman"/>
          <w:b/>
          <w:bCs/>
          <w:sz w:val="22"/>
          <w:szCs w:val="22"/>
          <w:lang w:val="en-US"/>
        </w:rPr>
        <w:t xml:space="preserve"> can be used to indicate the ID of the set of parameters for applicability report.</w:t>
      </w:r>
    </w:p>
    <w:p w14:paraId="079A2BB6" w14:textId="359D8D97" w:rsidR="00B2053B" w:rsidRDefault="009F3BF1" w:rsidP="00EA16AF">
      <w:pPr>
        <w:pStyle w:val="3"/>
        <w:tabs>
          <w:tab w:val="clear" w:pos="1145"/>
          <w:tab w:val="num" w:pos="810"/>
        </w:tabs>
      </w:pPr>
      <w:r>
        <w:t>UE Autonomous Fallback</w:t>
      </w:r>
    </w:p>
    <w:p w14:paraId="2430942B" w14:textId="6D53705C" w:rsidR="007B5976" w:rsidRPr="007B5976" w:rsidRDefault="007B5976" w:rsidP="007B5976">
      <w:pPr>
        <w:rPr>
          <w:rFonts w:ascii="Times New Roman" w:eastAsia="DengXian" w:hAnsi="Times New Roman"/>
          <w:sz w:val="22"/>
          <w:szCs w:val="22"/>
        </w:rPr>
      </w:pPr>
      <w:r w:rsidRPr="007B5976">
        <w:rPr>
          <w:rFonts w:ascii="Times New Roman" w:eastAsia="DengXian" w:hAnsi="Times New Roman"/>
          <w:sz w:val="22"/>
          <w:szCs w:val="22"/>
        </w:rPr>
        <w:t xml:space="preserve">In RAN#131 meeting, RAN2 </w:t>
      </w:r>
      <w:r>
        <w:rPr>
          <w:rFonts w:ascii="Times New Roman" w:eastAsia="DengXian" w:hAnsi="Times New Roman"/>
          <w:sz w:val="22"/>
          <w:szCs w:val="22"/>
        </w:rPr>
        <w:t>have the following agreement about UE detect some inference configuration is not applicable.</w:t>
      </w:r>
    </w:p>
    <w:tbl>
      <w:tblPr>
        <w:tblStyle w:val="af"/>
        <w:tblW w:w="0" w:type="auto"/>
        <w:tblInd w:w="895" w:type="dxa"/>
        <w:tblLook w:val="04A0" w:firstRow="1" w:lastRow="0" w:firstColumn="1" w:lastColumn="0" w:noHBand="0" w:noVBand="1"/>
      </w:tblPr>
      <w:tblGrid>
        <w:gridCol w:w="8572"/>
      </w:tblGrid>
      <w:tr w:rsidR="007B5976" w14:paraId="4B65B40B" w14:textId="77777777" w:rsidTr="007B5976">
        <w:tc>
          <w:tcPr>
            <w:tcW w:w="8572" w:type="dxa"/>
            <w:tcBorders>
              <w:top w:val="single" w:sz="4" w:space="0" w:color="auto"/>
              <w:left w:val="single" w:sz="4" w:space="0" w:color="auto"/>
              <w:bottom w:val="single" w:sz="4" w:space="0" w:color="auto"/>
              <w:right w:val="single" w:sz="4" w:space="0" w:color="auto"/>
            </w:tcBorders>
          </w:tcPr>
          <w:p w14:paraId="445C79F7" w14:textId="77777777" w:rsidR="007B5976" w:rsidRDefault="007B5976">
            <w:pPr>
              <w:pStyle w:val="Doc-text2"/>
              <w:ind w:left="363"/>
              <w:rPr>
                <w:b/>
                <w:bCs/>
                <w:lang w:eastAsia="en-GB"/>
              </w:rPr>
            </w:pPr>
            <w:r>
              <w:rPr>
                <w:b/>
                <w:bCs/>
              </w:rPr>
              <w:t>Agreements</w:t>
            </w:r>
          </w:p>
          <w:p w14:paraId="2ABFDB6A" w14:textId="77777777" w:rsidR="007B5976" w:rsidRDefault="007B5976">
            <w:pPr>
              <w:pStyle w:val="Doc-text2"/>
              <w:ind w:left="363"/>
            </w:pPr>
            <w:r>
              <w:t>1.</w:t>
            </w:r>
            <w:r>
              <w:tab/>
              <w:t>Confirm that as a baseline following agreements on applicability reporting in AI-based beam management are applicable for AI mobility:</w:t>
            </w:r>
          </w:p>
          <w:p w14:paraId="1D512D74" w14:textId="77777777" w:rsidR="007B5976" w:rsidRDefault="007B5976" w:rsidP="007B5976">
            <w:pPr>
              <w:pStyle w:val="Doc-text2"/>
              <w:numPr>
                <w:ilvl w:val="0"/>
                <w:numId w:val="77"/>
              </w:numPr>
              <w:ind w:left="720"/>
            </w:pPr>
            <w:r>
              <w:lastRenderedPageBreak/>
              <w:t>UE may include “release configuration” flag in applicability reporting to indicate UEs preference to release a non-applicable configuration.</w:t>
            </w:r>
          </w:p>
          <w:p w14:paraId="4E497A9B" w14:textId="77777777" w:rsidR="007B5976" w:rsidRDefault="007B5976" w:rsidP="007B5976">
            <w:pPr>
              <w:pStyle w:val="Doc-text2"/>
              <w:numPr>
                <w:ilvl w:val="0"/>
                <w:numId w:val="77"/>
              </w:numPr>
              <w:ind w:left="720"/>
            </w:pPr>
            <w:r>
              <w:t xml:space="preserve">Introduce a flag in </w:t>
            </w:r>
            <w:proofErr w:type="spellStart"/>
            <w:r>
              <w:t>OtherConfig</w:t>
            </w:r>
            <w:proofErr w:type="spellEnd"/>
            <w:r>
              <w:t xml:space="preserve"> indicating whether applicability reporting via UAI is enabled or disabled. </w:t>
            </w:r>
          </w:p>
          <w:p w14:paraId="73F16060" w14:textId="77777777" w:rsidR="007B5976" w:rsidRPr="007B5976" w:rsidRDefault="007B5976" w:rsidP="007B5976">
            <w:pPr>
              <w:pStyle w:val="Doc-text2"/>
              <w:numPr>
                <w:ilvl w:val="0"/>
                <w:numId w:val="77"/>
              </w:numPr>
              <w:ind w:left="720"/>
              <w:rPr>
                <w:highlight w:val="yellow"/>
              </w:rPr>
            </w:pPr>
            <w:r w:rsidRPr="007B5976">
              <w:rPr>
                <w:highlight w:val="yellow"/>
              </w:rPr>
              <w:t xml:space="preserve">When UE indicates that an inference configuration is not applicable, the </w:t>
            </w:r>
            <w:proofErr w:type="spellStart"/>
            <w:r w:rsidRPr="007B5976">
              <w:rPr>
                <w:highlight w:val="yellow"/>
              </w:rPr>
              <w:t>gNB</w:t>
            </w:r>
            <w:proofErr w:type="spellEnd"/>
            <w:r w:rsidRPr="007B5976">
              <w:rPr>
                <w:highlight w:val="yellow"/>
              </w:rPr>
              <w:t xml:space="preserve"> is expected to release the configuration (i.e., UE autonomous release is not supported).</w:t>
            </w:r>
          </w:p>
          <w:p w14:paraId="38F2885A" w14:textId="34947C06" w:rsidR="007B5976" w:rsidRDefault="007B5976" w:rsidP="007B5976">
            <w:pPr>
              <w:pStyle w:val="Doc-text2"/>
              <w:ind w:left="360" w:firstLine="0"/>
              <w:rPr>
                <w:lang w:val="en-GB"/>
              </w:rPr>
            </w:pPr>
            <w:r>
              <w:t>……..</w:t>
            </w:r>
          </w:p>
        </w:tc>
      </w:tr>
    </w:tbl>
    <w:p w14:paraId="32B825AA" w14:textId="15BECB22" w:rsidR="00B2748D" w:rsidRDefault="00B2748D" w:rsidP="00EA16AF">
      <w:pPr>
        <w:pStyle w:val="3GPPHeader"/>
        <w:rPr>
          <w:rFonts w:ascii="Times New Roman" w:eastAsia="DengXian" w:hAnsi="Times New Roman"/>
          <w:b w:val="0"/>
          <w:sz w:val="22"/>
          <w:szCs w:val="22"/>
          <w:lang w:val="en-US"/>
        </w:rPr>
      </w:pPr>
      <w:r w:rsidRPr="00B2748D">
        <w:rPr>
          <w:rFonts w:ascii="Times New Roman" w:eastAsia="DengXian" w:hAnsi="Times New Roman"/>
          <w:b w:val="0"/>
          <w:sz w:val="22"/>
          <w:szCs w:val="22"/>
          <w:lang w:val="en-US"/>
        </w:rPr>
        <w:lastRenderedPageBreak/>
        <w:t xml:space="preserve">We agree that the UE must wait for the NW to release </w:t>
      </w:r>
      <w:r>
        <w:rPr>
          <w:rFonts w:ascii="Times New Roman" w:eastAsia="DengXian" w:hAnsi="Times New Roman"/>
          <w:b w:val="0"/>
          <w:sz w:val="22"/>
          <w:szCs w:val="22"/>
          <w:lang w:val="en-US"/>
        </w:rPr>
        <w:t>in</w:t>
      </w:r>
      <w:r w:rsidRPr="00B2748D">
        <w:rPr>
          <w:rFonts w:ascii="Times New Roman" w:eastAsia="DengXian" w:hAnsi="Times New Roman"/>
          <w:b w:val="0"/>
          <w:sz w:val="22"/>
          <w:szCs w:val="22"/>
          <w:lang w:val="en-US"/>
        </w:rPr>
        <w:t xml:space="preserve">applicable configurations and cannot release them on its own. However, we believe that when the UE finds some configurations to be </w:t>
      </w:r>
      <w:r>
        <w:rPr>
          <w:rFonts w:ascii="Times New Roman" w:eastAsia="DengXian" w:hAnsi="Times New Roman"/>
          <w:b w:val="0"/>
          <w:sz w:val="22"/>
          <w:szCs w:val="22"/>
          <w:lang w:val="en-US"/>
        </w:rPr>
        <w:t>not applicable</w:t>
      </w:r>
      <w:r w:rsidRPr="00B2748D">
        <w:rPr>
          <w:rFonts w:ascii="Times New Roman" w:eastAsia="DengXian" w:hAnsi="Times New Roman"/>
          <w:b w:val="0"/>
          <w:sz w:val="22"/>
          <w:szCs w:val="22"/>
          <w:lang w:val="en-US"/>
        </w:rPr>
        <w:t xml:space="preserve">, it should be able to autonomously fallback to alternative solutions, such as a non-AI approach. This means that the UE does not need to send inference reports for inapplicable configurations. In the AI MOB use case, unsuitable inference results can lead to HOF and RLF. Additionally, whether the inference report uses predicted or actual measurements is also </w:t>
      </w:r>
      <w:r>
        <w:rPr>
          <w:rFonts w:ascii="Times New Roman" w:eastAsia="DengXian" w:hAnsi="Times New Roman"/>
          <w:b w:val="0"/>
          <w:sz w:val="22"/>
          <w:szCs w:val="22"/>
          <w:lang w:val="en-US"/>
        </w:rPr>
        <w:t xml:space="preserve">up to </w:t>
      </w:r>
      <w:r w:rsidRPr="00B2748D">
        <w:rPr>
          <w:rFonts w:ascii="Times New Roman" w:eastAsia="DengXian" w:hAnsi="Times New Roman"/>
          <w:b w:val="0"/>
          <w:sz w:val="22"/>
          <w:szCs w:val="22"/>
          <w:lang w:val="en-US"/>
        </w:rPr>
        <w:t>UE implementation. Forcing the UE to continue sending inference reports for inapplicable inference configurations only increases system overhead.</w:t>
      </w:r>
    </w:p>
    <w:p w14:paraId="5137887B" w14:textId="44EB47B1" w:rsidR="00EA16AF" w:rsidRPr="00EA16AF" w:rsidRDefault="00EA16AF" w:rsidP="00B2748D">
      <w:pPr>
        <w:pStyle w:val="3GPPHeader"/>
        <w:rPr>
          <w:lang w:val="en-US"/>
        </w:rPr>
      </w:pPr>
      <w:r>
        <w:rPr>
          <w:rFonts w:ascii="Times New Roman" w:eastAsia="DengXian" w:hAnsi="Times New Roman"/>
          <w:bCs/>
          <w:sz w:val="22"/>
          <w:szCs w:val="22"/>
          <w:lang w:val="en-US"/>
        </w:rPr>
        <w:t xml:space="preserve">Proposal </w:t>
      </w:r>
      <w:r w:rsidR="006E74C2">
        <w:rPr>
          <w:rFonts w:ascii="Times New Roman" w:eastAsia="DengXian" w:hAnsi="Times New Roman"/>
          <w:bCs/>
          <w:sz w:val="22"/>
          <w:szCs w:val="22"/>
          <w:lang w:val="en-US"/>
        </w:rPr>
        <w:t>8</w:t>
      </w:r>
      <w:r>
        <w:rPr>
          <w:rFonts w:ascii="Times New Roman" w:eastAsia="DengXian" w:hAnsi="Times New Roman"/>
          <w:bCs/>
          <w:sz w:val="22"/>
          <w:szCs w:val="22"/>
          <w:lang w:val="en-US"/>
        </w:rPr>
        <w:t xml:space="preserve">: </w:t>
      </w:r>
      <w:r w:rsidR="00712C53">
        <w:rPr>
          <w:rFonts w:ascii="Times New Roman" w:eastAsia="DengXian" w:hAnsi="Times New Roman"/>
          <w:bCs/>
          <w:sz w:val="22"/>
          <w:szCs w:val="22"/>
          <w:lang w:val="en-US"/>
        </w:rPr>
        <w:t xml:space="preserve">Same as AI-BM, the UE doesn’t autonomous release the inference configuration when it becomes inapplicable. But the </w:t>
      </w:r>
      <w:r>
        <w:rPr>
          <w:rFonts w:ascii="Times New Roman" w:eastAsia="DengXian" w:hAnsi="Times New Roman"/>
          <w:bCs/>
          <w:sz w:val="22"/>
          <w:szCs w:val="22"/>
          <w:lang w:val="en-US"/>
        </w:rPr>
        <w:t>UE</w:t>
      </w:r>
      <w:r w:rsidR="00712C53">
        <w:rPr>
          <w:rFonts w:ascii="Times New Roman" w:eastAsia="DengXian" w:hAnsi="Times New Roman"/>
          <w:bCs/>
          <w:sz w:val="22"/>
          <w:szCs w:val="22"/>
          <w:lang w:val="en-US"/>
        </w:rPr>
        <w:t xml:space="preserve"> can</w:t>
      </w:r>
      <w:r>
        <w:rPr>
          <w:rFonts w:ascii="Times New Roman" w:eastAsia="DengXian" w:hAnsi="Times New Roman"/>
          <w:bCs/>
          <w:sz w:val="22"/>
          <w:szCs w:val="22"/>
          <w:lang w:val="en-US"/>
        </w:rPr>
        <w:t xml:space="preserve"> autonomous</w:t>
      </w:r>
      <w:r w:rsidR="00712C53">
        <w:rPr>
          <w:rFonts w:ascii="Times New Roman" w:eastAsia="DengXian" w:hAnsi="Times New Roman"/>
          <w:bCs/>
          <w:sz w:val="22"/>
          <w:szCs w:val="22"/>
          <w:lang w:val="en-US"/>
        </w:rPr>
        <w:t>ly fallback to non-AI operation.</w:t>
      </w:r>
    </w:p>
    <w:p w14:paraId="5C3CD830" w14:textId="1DB8CDC0" w:rsidR="006E74C2" w:rsidRDefault="006E74C2" w:rsidP="006E74C2">
      <w:pPr>
        <w:pStyle w:val="2"/>
        <w:tabs>
          <w:tab w:val="num" w:pos="576"/>
        </w:tabs>
      </w:pPr>
      <w:r>
        <w:t>Inference Report</w:t>
      </w:r>
      <w:bookmarkStart w:id="49" w:name="OLE_LINK80"/>
      <w:bookmarkStart w:id="50" w:name="OLE_LINK73"/>
      <w:bookmarkStart w:id="51" w:name="OLE_LINK94"/>
      <w:bookmarkStart w:id="52" w:name="OLE_LINK99"/>
      <w:r>
        <w:t xml:space="preserve"> for measurement event prediction</w:t>
      </w:r>
    </w:p>
    <w:bookmarkEnd w:id="49"/>
    <w:bookmarkEnd w:id="50"/>
    <w:bookmarkEnd w:id="51"/>
    <w:bookmarkEnd w:id="52"/>
    <w:p w14:paraId="253E7F88" w14:textId="77777777" w:rsidR="006E74C2" w:rsidRDefault="006E74C2" w:rsidP="006E74C2">
      <w:pPr>
        <w:rPr>
          <w:rFonts w:ascii="Times New Roman" w:eastAsia="DengXian" w:hAnsi="Times New Roman"/>
          <w:sz w:val="22"/>
          <w:szCs w:val="22"/>
        </w:rPr>
      </w:pPr>
      <w:r>
        <w:rPr>
          <w:rFonts w:ascii="Times New Roman" w:eastAsia="DengXian" w:hAnsi="Times New Roman"/>
          <w:sz w:val="22"/>
          <w:szCs w:val="22"/>
        </w:rPr>
        <w:t xml:space="preserve">Different handover </w:t>
      </w:r>
      <w:proofErr w:type="spellStart"/>
      <w:r>
        <w:rPr>
          <w:rFonts w:ascii="Times New Roman" w:eastAsia="DengXian" w:hAnsi="Times New Roman"/>
          <w:sz w:val="22"/>
          <w:szCs w:val="22"/>
        </w:rPr>
        <w:t>modeling</w:t>
      </w:r>
      <w:proofErr w:type="spellEnd"/>
      <w:r>
        <w:rPr>
          <w:rFonts w:ascii="Times New Roman" w:eastAsia="DengXian" w:hAnsi="Times New Roman"/>
          <w:sz w:val="22"/>
          <w:szCs w:val="22"/>
        </w:rPr>
        <w:t xml:space="preserve"> approaches (e.g., option 1 or option 2) for temporal domain case A result in differences in the UE's inference reporting procedures and </w:t>
      </w:r>
      <w:proofErr w:type="spellStart"/>
      <w:r>
        <w:rPr>
          <w:rFonts w:ascii="Times New Roman" w:eastAsia="DengXian" w:hAnsi="Times New Roman"/>
          <w:sz w:val="22"/>
          <w:szCs w:val="22"/>
        </w:rPr>
        <w:t>behavior</w:t>
      </w:r>
      <w:proofErr w:type="spellEnd"/>
      <w:r>
        <w:rPr>
          <w:rFonts w:ascii="Times New Roman" w:eastAsia="DengXian" w:hAnsi="Times New Roman"/>
          <w:sz w:val="22"/>
          <w:szCs w:val="22"/>
        </w:rPr>
        <w:t xml:space="preserve">. For event prediction in temporal case A with handover </w:t>
      </w:r>
      <w:proofErr w:type="spellStart"/>
      <w:r>
        <w:rPr>
          <w:rFonts w:ascii="Times New Roman" w:eastAsia="DengXian" w:hAnsi="Times New Roman"/>
          <w:sz w:val="22"/>
          <w:szCs w:val="22"/>
        </w:rPr>
        <w:t>modeling</w:t>
      </w:r>
      <w:proofErr w:type="spellEnd"/>
      <w:r>
        <w:rPr>
          <w:rFonts w:ascii="Times New Roman" w:eastAsia="DengXian" w:hAnsi="Times New Roman"/>
          <w:sz w:val="22"/>
          <w:szCs w:val="22"/>
        </w:rPr>
        <w:t xml:space="preserve"> option 1, the UE is required to report both predicted measurement reports (MRs) based on inference, and real measurement reports based on actual measurements. This dual reporting introduces substantial specification changes and increases </w:t>
      </w:r>
      <w:proofErr w:type="spellStart"/>
      <w:r>
        <w:rPr>
          <w:rFonts w:ascii="Times New Roman" w:eastAsia="DengXian" w:hAnsi="Times New Roman"/>
          <w:sz w:val="22"/>
          <w:szCs w:val="22"/>
        </w:rPr>
        <w:t>signaling</w:t>
      </w:r>
      <w:proofErr w:type="spellEnd"/>
      <w:r>
        <w:rPr>
          <w:rFonts w:ascii="Times New Roman" w:eastAsia="DengXian" w:hAnsi="Times New Roman"/>
          <w:sz w:val="22"/>
          <w:szCs w:val="22"/>
        </w:rPr>
        <w:t xml:space="preserve"> overhead in the current system. Moreover, despite these significant impacts on the specification, RAN2 evaluation results indicate that the performance gain achieved by HO </w:t>
      </w:r>
      <w:proofErr w:type="spellStart"/>
      <w:r>
        <w:rPr>
          <w:rFonts w:ascii="Times New Roman" w:eastAsia="DengXian" w:hAnsi="Times New Roman"/>
          <w:sz w:val="22"/>
          <w:szCs w:val="22"/>
        </w:rPr>
        <w:t>modeling</w:t>
      </w:r>
      <w:proofErr w:type="spellEnd"/>
      <w:r>
        <w:rPr>
          <w:rFonts w:ascii="Times New Roman" w:eastAsia="DengXian" w:hAnsi="Times New Roman"/>
          <w:sz w:val="22"/>
          <w:szCs w:val="22"/>
        </w:rPr>
        <w:t xml:space="preserve"> option 1 is very limited. In addition, implementing HO </w:t>
      </w:r>
      <w:proofErr w:type="spellStart"/>
      <w:r>
        <w:rPr>
          <w:rFonts w:ascii="Times New Roman" w:eastAsia="DengXian" w:hAnsi="Times New Roman"/>
          <w:sz w:val="22"/>
          <w:szCs w:val="22"/>
        </w:rPr>
        <w:t>modeling</w:t>
      </w:r>
      <w:proofErr w:type="spellEnd"/>
      <w:r>
        <w:rPr>
          <w:rFonts w:ascii="Times New Roman" w:eastAsia="DengXian" w:hAnsi="Times New Roman"/>
          <w:sz w:val="22"/>
          <w:szCs w:val="22"/>
        </w:rPr>
        <w:t xml:space="preserve"> option 1 requires the UE to perform continuous inference to detect whether early synchronization and preparation are needed, which results in considerable power consumption for the UE. </w:t>
      </w:r>
    </w:p>
    <w:p w14:paraId="69AF52EE" w14:textId="1C63979F" w:rsidR="006E74C2" w:rsidRDefault="006E74C2" w:rsidP="006E74C2">
      <w:pPr>
        <w:rPr>
          <w:rFonts w:ascii="Times New Roman" w:eastAsia="DengXian" w:hAnsi="Times New Roman"/>
          <w:b/>
          <w:bCs/>
          <w:sz w:val="22"/>
          <w:szCs w:val="22"/>
        </w:rPr>
      </w:pPr>
      <w:r>
        <w:rPr>
          <w:rFonts w:ascii="Times New Roman" w:eastAsia="DengXian" w:hAnsi="Times New Roman"/>
          <w:b/>
          <w:bCs/>
          <w:sz w:val="22"/>
          <w:szCs w:val="22"/>
        </w:rPr>
        <w:t xml:space="preserve">Observation 2: Handover </w:t>
      </w:r>
      <w:proofErr w:type="spellStart"/>
      <w:r>
        <w:rPr>
          <w:rFonts w:ascii="Times New Roman" w:eastAsia="DengXian" w:hAnsi="Times New Roman"/>
          <w:b/>
          <w:bCs/>
          <w:sz w:val="22"/>
          <w:szCs w:val="22"/>
        </w:rPr>
        <w:t>modeling</w:t>
      </w:r>
      <w:proofErr w:type="spellEnd"/>
      <w:r>
        <w:rPr>
          <w:rFonts w:ascii="Times New Roman" w:eastAsia="DengXian" w:hAnsi="Times New Roman"/>
          <w:b/>
          <w:bCs/>
          <w:sz w:val="22"/>
          <w:szCs w:val="22"/>
        </w:rPr>
        <w:t xml:space="preserve"> option 1 offers very limited performance gain, while causing significant impacts on current specifications, such as increased prediction measurement reporting and </w:t>
      </w:r>
      <w:proofErr w:type="spellStart"/>
      <w:r>
        <w:rPr>
          <w:rFonts w:ascii="Times New Roman" w:eastAsia="DengXian" w:hAnsi="Times New Roman"/>
          <w:b/>
          <w:bCs/>
          <w:sz w:val="22"/>
          <w:szCs w:val="22"/>
        </w:rPr>
        <w:t>signaling</w:t>
      </w:r>
      <w:proofErr w:type="spellEnd"/>
      <w:r>
        <w:rPr>
          <w:rFonts w:ascii="Times New Roman" w:eastAsia="DengXian" w:hAnsi="Times New Roman"/>
          <w:b/>
          <w:bCs/>
          <w:sz w:val="22"/>
          <w:szCs w:val="22"/>
        </w:rPr>
        <w:t xml:space="preserve"> overhead.</w:t>
      </w:r>
    </w:p>
    <w:p w14:paraId="060D5C17" w14:textId="77777777" w:rsidR="006E74C2" w:rsidRDefault="006E74C2" w:rsidP="006E74C2">
      <w:pPr>
        <w:rPr>
          <w:rFonts w:ascii="Times New Roman" w:eastAsia="DengXian" w:hAnsi="Times New Roman"/>
          <w:sz w:val="22"/>
          <w:szCs w:val="22"/>
        </w:rPr>
      </w:pPr>
      <w:r>
        <w:rPr>
          <w:rFonts w:ascii="Times New Roman" w:eastAsia="DengXian" w:hAnsi="Times New Roman"/>
          <w:sz w:val="22"/>
          <w:szCs w:val="22"/>
        </w:rPr>
        <w:t xml:space="preserve">With handover </w:t>
      </w:r>
      <w:proofErr w:type="spellStart"/>
      <w:r>
        <w:rPr>
          <w:rFonts w:ascii="Times New Roman" w:eastAsia="DengXian" w:hAnsi="Times New Roman"/>
          <w:sz w:val="22"/>
          <w:szCs w:val="22"/>
        </w:rPr>
        <w:t>modeling</w:t>
      </w:r>
      <w:proofErr w:type="spellEnd"/>
      <w:r>
        <w:rPr>
          <w:rFonts w:ascii="Times New Roman" w:eastAsia="DengXian" w:hAnsi="Times New Roman"/>
          <w:sz w:val="22"/>
          <w:szCs w:val="22"/>
        </w:rPr>
        <w:t xml:space="preserve"> option 2 for event prediction in temporal case A, the UE can perform inference only when the entry condition is met. It then reports a predicted measurement event at the time instance it is predicted to be triggered. This procedure aligns with legacy MR report and handover processes: once the predicted measurement event (like a legacy A3 event) is received, the network can send the handover command immediately after completing handover preparation.</w:t>
      </w:r>
      <w:r>
        <w:t xml:space="preserve"> </w:t>
      </w:r>
      <w:r>
        <w:rPr>
          <w:rFonts w:ascii="Times New Roman" w:eastAsia="DengXian" w:hAnsi="Times New Roman"/>
          <w:sz w:val="22"/>
          <w:szCs w:val="22"/>
        </w:rPr>
        <w:t xml:space="preserve">A </w:t>
      </w:r>
      <w:proofErr w:type="spellStart"/>
      <w:r>
        <w:rPr>
          <w:rFonts w:ascii="Times New Roman" w:eastAsia="DengXian" w:hAnsi="Times New Roman"/>
          <w:sz w:val="22"/>
          <w:szCs w:val="22"/>
        </w:rPr>
        <w:t>MeasObject</w:t>
      </w:r>
      <w:proofErr w:type="spellEnd"/>
      <w:r>
        <w:rPr>
          <w:rFonts w:ascii="Times New Roman" w:eastAsia="DengXian" w:hAnsi="Times New Roman"/>
          <w:sz w:val="22"/>
          <w:szCs w:val="22"/>
        </w:rPr>
        <w:t>/</w:t>
      </w:r>
      <w:proofErr w:type="spellStart"/>
      <w:r>
        <w:rPr>
          <w:rFonts w:ascii="Times New Roman" w:eastAsia="DengXian" w:hAnsi="Times New Roman"/>
          <w:sz w:val="22"/>
          <w:szCs w:val="22"/>
        </w:rPr>
        <w:t>ReportConfig</w:t>
      </w:r>
      <w:proofErr w:type="spellEnd"/>
      <w:r>
        <w:rPr>
          <w:rFonts w:ascii="Times New Roman" w:eastAsia="DengXian" w:hAnsi="Times New Roman"/>
          <w:sz w:val="22"/>
          <w:szCs w:val="22"/>
        </w:rPr>
        <w:t xml:space="preserve"> can correspond to one or more inference configurations. An inference configuration can reference an existing </w:t>
      </w:r>
      <w:proofErr w:type="spellStart"/>
      <w:r>
        <w:rPr>
          <w:rFonts w:ascii="Times New Roman" w:eastAsia="DengXian" w:hAnsi="Times New Roman"/>
          <w:sz w:val="22"/>
          <w:szCs w:val="22"/>
        </w:rPr>
        <w:t>MeasObject</w:t>
      </w:r>
      <w:proofErr w:type="spellEnd"/>
      <w:r>
        <w:rPr>
          <w:rFonts w:ascii="Times New Roman" w:eastAsia="DengXian" w:hAnsi="Times New Roman"/>
          <w:sz w:val="22"/>
          <w:szCs w:val="22"/>
        </w:rPr>
        <w:t>/</w:t>
      </w:r>
      <w:proofErr w:type="spellStart"/>
      <w:r>
        <w:rPr>
          <w:rFonts w:ascii="Times New Roman" w:eastAsia="DengXian" w:hAnsi="Times New Roman"/>
          <w:sz w:val="22"/>
          <w:szCs w:val="22"/>
        </w:rPr>
        <w:t>ReportConfig</w:t>
      </w:r>
      <w:proofErr w:type="spellEnd"/>
      <w:r>
        <w:rPr>
          <w:rFonts w:ascii="Times New Roman" w:eastAsia="DengXian" w:hAnsi="Times New Roman"/>
          <w:sz w:val="22"/>
          <w:szCs w:val="22"/>
        </w:rPr>
        <w:t>, reusing its measurement objects and reporting mechanisms, while only adding AI-related triggering and processing logic. Therefore, we need an identifier to establish the mapping relationship.</w:t>
      </w:r>
    </w:p>
    <w:p w14:paraId="499299D9" w14:textId="5CD5328C" w:rsidR="006E74C2" w:rsidRDefault="006E74C2" w:rsidP="006E74C2">
      <w:pPr>
        <w:rPr>
          <w:rFonts w:ascii="Times New Roman" w:eastAsia="DengXian" w:hAnsi="Times New Roman"/>
          <w:b/>
          <w:bCs/>
          <w:sz w:val="22"/>
          <w:szCs w:val="22"/>
        </w:rPr>
      </w:pPr>
      <w:r>
        <w:rPr>
          <w:rFonts w:ascii="Times New Roman" w:eastAsia="DengXian" w:hAnsi="Times New Roman"/>
          <w:b/>
          <w:bCs/>
          <w:sz w:val="22"/>
          <w:szCs w:val="22"/>
        </w:rPr>
        <w:t xml:space="preserve">Observation 3: For measurement event prediction in temporal domain case A with HO </w:t>
      </w:r>
      <w:proofErr w:type="spellStart"/>
      <w:r>
        <w:rPr>
          <w:rFonts w:ascii="Times New Roman" w:eastAsia="DengXian" w:hAnsi="Times New Roman"/>
          <w:b/>
          <w:bCs/>
          <w:sz w:val="22"/>
          <w:szCs w:val="22"/>
        </w:rPr>
        <w:t>modeling</w:t>
      </w:r>
      <w:proofErr w:type="spellEnd"/>
      <w:r>
        <w:rPr>
          <w:rFonts w:ascii="Times New Roman" w:eastAsia="DengXian" w:hAnsi="Times New Roman"/>
          <w:b/>
          <w:bCs/>
          <w:sz w:val="22"/>
          <w:szCs w:val="22"/>
        </w:rPr>
        <w:t xml:space="preserve"> option 2, as well as in temporal case B, the measurement report can reuse the legacy MR format, resulting in minimal impact on the current specifications.</w:t>
      </w:r>
    </w:p>
    <w:p w14:paraId="1824FC37" w14:textId="44C4A5E4" w:rsidR="006E74C2" w:rsidRDefault="006E74C2" w:rsidP="006E74C2">
      <w:pPr>
        <w:spacing w:before="120"/>
        <w:rPr>
          <w:rFonts w:ascii="Times New Roman" w:eastAsia="DengXian" w:hAnsi="Times New Roman"/>
          <w:b/>
          <w:bCs/>
          <w:sz w:val="22"/>
          <w:szCs w:val="22"/>
        </w:rPr>
      </w:pPr>
      <w:r>
        <w:rPr>
          <w:rFonts w:ascii="Times New Roman" w:eastAsia="DengXian" w:hAnsi="Times New Roman"/>
          <w:b/>
          <w:bCs/>
          <w:sz w:val="22"/>
          <w:szCs w:val="22"/>
        </w:rPr>
        <w:lastRenderedPageBreak/>
        <w:t xml:space="preserve">Proposal 9: </w:t>
      </w:r>
      <w:r w:rsidR="005506BE" w:rsidRPr="005506BE">
        <w:rPr>
          <w:rFonts w:ascii="Times New Roman" w:eastAsia="DengXian" w:hAnsi="Times New Roman"/>
          <w:b/>
          <w:bCs/>
          <w:sz w:val="22"/>
          <w:szCs w:val="22"/>
        </w:rPr>
        <w:t>Unless additional evidence emerges to justify the necessity of option 1, RAN2</w:t>
      </w:r>
      <w:r w:rsidR="005506BE">
        <w:rPr>
          <w:rFonts w:ascii="Times New Roman" w:eastAsia="DengXian" w:hAnsi="Times New Roman"/>
          <w:b/>
          <w:bCs/>
          <w:sz w:val="22"/>
          <w:szCs w:val="22"/>
        </w:rPr>
        <w:t xml:space="preserve"> </w:t>
      </w:r>
      <w:r w:rsidR="005506BE" w:rsidRPr="005506BE">
        <w:rPr>
          <w:rFonts w:ascii="Times New Roman" w:eastAsia="DengXian" w:hAnsi="Times New Roman"/>
          <w:b/>
          <w:bCs/>
          <w:sz w:val="22"/>
          <w:szCs w:val="22"/>
        </w:rPr>
        <w:t>at this stage</w:t>
      </w:r>
      <w:r w:rsidR="005506BE">
        <w:rPr>
          <w:rFonts w:ascii="Times New Roman" w:eastAsia="DengXian" w:hAnsi="Times New Roman"/>
          <w:b/>
          <w:bCs/>
          <w:sz w:val="22"/>
          <w:szCs w:val="22"/>
        </w:rPr>
        <w:t xml:space="preserve"> </w:t>
      </w:r>
      <w:r w:rsidR="005506BE" w:rsidRPr="005506BE">
        <w:rPr>
          <w:rFonts w:ascii="Times New Roman" w:eastAsia="DengXian" w:hAnsi="Times New Roman"/>
          <w:b/>
          <w:bCs/>
          <w:sz w:val="22"/>
          <w:szCs w:val="22"/>
        </w:rPr>
        <w:t xml:space="preserve">focus the normative work for the LCM procedure in temporal case A on HO </w:t>
      </w:r>
      <w:proofErr w:type="spellStart"/>
      <w:r w:rsidR="005506BE" w:rsidRPr="005506BE">
        <w:rPr>
          <w:rFonts w:ascii="Times New Roman" w:eastAsia="DengXian" w:hAnsi="Times New Roman"/>
          <w:b/>
          <w:bCs/>
          <w:sz w:val="22"/>
          <w:szCs w:val="22"/>
        </w:rPr>
        <w:t>modeling</w:t>
      </w:r>
      <w:proofErr w:type="spellEnd"/>
      <w:r w:rsidR="005506BE" w:rsidRPr="005506BE">
        <w:rPr>
          <w:rFonts w:ascii="Times New Roman" w:eastAsia="DengXian" w:hAnsi="Times New Roman"/>
          <w:b/>
          <w:bCs/>
          <w:sz w:val="22"/>
          <w:szCs w:val="22"/>
        </w:rPr>
        <w:t xml:space="preserve"> option 2.</w:t>
      </w:r>
    </w:p>
    <w:p w14:paraId="5DEC9069" w14:textId="0B99C8C4" w:rsidR="006E74C2" w:rsidRDefault="006E74C2" w:rsidP="006E74C2">
      <w:pPr>
        <w:rPr>
          <w:rFonts w:ascii="Times New Roman" w:hAnsi="Times New Roman"/>
          <w:b/>
          <w:bCs/>
          <w:sz w:val="22"/>
          <w:szCs w:val="22"/>
        </w:rPr>
      </w:pPr>
      <w:r>
        <w:rPr>
          <w:rFonts w:ascii="Times New Roman" w:hAnsi="Times New Roman"/>
          <w:b/>
          <w:bCs/>
          <w:sz w:val="22"/>
          <w:szCs w:val="22"/>
        </w:rPr>
        <w:t xml:space="preserve">Proposal 10: For measurement event prediction with HO </w:t>
      </w:r>
      <w:proofErr w:type="spellStart"/>
      <w:r>
        <w:rPr>
          <w:rFonts w:ascii="Times New Roman" w:hAnsi="Times New Roman"/>
          <w:b/>
          <w:bCs/>
          <w:sz w:val="22"/>
          <w:szCs w:val="22"/>
        </w:rPr>
        <w:t>modeling</w:t>
      </w:r>
      <w:proofErr w:type="spellEnd"/>
      <w:r>
        <w:rPr>
          <w:rFonts w:ascii="Times New Roman" w:hAnsi="Times New Roman"/>
          <w:b/>
          <w:bCs/>
          <w:sz w:val="22"/>
          <w:szCs w:val="22"/>
        </w:rPr>
        <w:t xml:space="preserve"> option 2, the measurement report can reuse the legacy MR to include real measurement results.</w:t>
      </w:r>
    </w:p>
    <w:p w14:paraId="3F9DCE70" w14:textId="55BA02EF" w:rsidR="00BD59EF" w:rsidRPr="00F523A4" w:rsidRDefault="005917B8" w:rsidP="009749D2">
      <w:pPr>
        <w:pStyle w:val="2"/>
        <w:tabs>
          <w:tab w:val="num" w:pos="576"/>
        </w:tabs>
      </w:pPr>
      <w:r>
        <w:t>When to</w:t>
      </w:r>
      <w:r w:rsidR="00BD59EF">
        <w:t xml:space="preserve"> perform inference</w:t>
      </w:r>
    </w:p>
    <w:p w14:paraId="28212102" w14:textId="19C81373" w:rsidR="00047F51" w:rsidRDefault="00047F51" w:rsidP="00047F51">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The other issue is about when to perform inference</w:t>
      </w:r>
      <w:r w:rsidR="005917B8">
        <w:rPr>
          <w:rFonts w:ascii="Times New Roman" w:eastAsiaTheme="minorEastAsia" w:hAnsi="Times New Roman"/>
          <w:sz w:val="22"/>
          <w:szCs w:val="22"/>
          <w:lang w:eastAsia="zh-TW"/>
        </w:rPr>
        <w:t xml:space="preserve"> (At the RAN2 #131 meeting, we noticed that when discussing “when to perform inference”, some proposals refer to the timing of inference activation. Here we focus on the exact timing of performing inference)</w:t>
      </w:r>
      <w:r>
        <w:rPr>
          <w:rFonts w:ascii="Times New Roman" w:eastAsiaTheme="minorEastAsia" w:hAnsi="Times New Roman"/>
          <w:sz w:val="22"/>
          <w:szCs w:val="22"/>
          <w:lang w:eastAsia="zh-TW"/>
        </w:rPr>
        <w:t>. For RRM prediction use cases with 1</w:t>
      </w:r>
      <w:r>
        <w:rPr>
          <w:rFonts w:ascii="Times New Roman" w:eastAsiaTheme="minorEastAsia" w:hAnsi="Times New Roman"/>
          <w:sz w:val="22"/>
          <w:szCs w:val="22"/>
          <w:vertAlign w:val="superscript"/>
          <w:lang w:eastAsia="zh-TW"/>
        </w:rPr>
        <w:t>st</w:t>
      </w:r>
      <w:r>
        <w:rPr>
          <w:rFonts w:ascii="Times New Roman" w:eastAsiaTheme="minorEastAsia" w:hAnsi="Times New Roman"/>
          <w:sz w:val="22"/>
          <w:szCs w:val="22"/>
          <w:lang w:eastAsia="zh-TW"/>
        </w:rPr>
        <w:t xml:space="preserve"> goal, i.e., Temporal case B and frequency domain prediction, the only requirement related to the timing of inference is the latency requirement of the measure report. For those cases, when to perform inference should be UE implementation, as long as UE can meet all the report requirements defined by RAN4. Whether the report requirement should be relaxed or modified for AI use cases can be FFS in RAN4. </w:t>
      </w:r>
    </w:p>
    <w:p w14:paraId="19FC1016" w14:textId="789DB4C9" w:rsidR="00047F51" w:rsidRDefault="00047F51" w:rsidP="00047F51">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 xml:space="preserve">Proposal </w:t>
      </w:r>
      <w:r w:rsidR="005917B8">
        <w:rPr>
          <w:rFonts w:ascii="Times New Roman" w:eastAsiaTheme="minorEastAsia" w:hAnsi="Times New Roman" w:cs="Arial"/>
          <w:b/>
          <w:bCs/>
          <w:noProof/>
          <w:sz w:val="22"/>
          <w:szCs w:val="22"/>
          <w:lang w:eastAsia="zh-TW"/>
        </w:rPr>
        <w:t>1</w:t>
      </w:r>
      <w:r w:rsidR="006E74C2">
        <w:rPr>
          <w:rFonts w:ascii="Times New Roman" w:eastAsiaTheme="minorEastAsia" w:hAnsi="Times New Roman" w:cs="Arial"/>
          <w:b/>
          <w:bCs/>
          <w:noProof/>
          <w:sz w:val="22"/>
          <w:szCs w:val="22"/>
          <w:lang w:eastAsia="zh-TW"/>
        </w:rPr>
        <w:t>1</w:t>
      </w:r>
      <w:r>
        <w:rPr>
          <w:rFonts w:ascii="Times New Roman" w:eastAsiaTheme="minorEastAsia" w:hAnsi="Times New Roman" w:cs="Arial"/>
          <w:b/>
          <w:bCs/>
          <w:noProof/>
          <w:sz w:val="22"/>
          <w:szCs w:val="22"/>
          <w:lang w:eastAsia="zh-TW"/>
        </w:rPr>
        <w:t xml:space="preserve">: For RRM Temporal domain case B and frequency domain prediction, when to perform inference is up to UE implementation. </w:t>
      </w:r>
      <w:r w:rsidR="008725D9">
        <w:rPr>
          <w:rFonts w:ascii="Times New Roman" w:eastAsiaTheme="minorEastAsia" w:hAnsi="Times New Roman" w:cs="Arial"/>
          <w:b/>
          <w:bCs/>
          <w:noProof/>
          <w:sz w:val="22"/>
          <w:szCs w:val="22"/>
          <w:lang w:eastAsia="zh-TW"/>
        </w:rPr>
        <w:t xml:space="preserve">The </w:t>
      </w:r>
      <w:r>
        <w:rPr>
          <w:rFonts w:ascii="Times New Roman" w:eastAsiaTheme="minorEastAsia" w:hAnsi="Times New Roman" w:cs="Arial"/>
          <w:b/>
          <w:bCs/>
          <w:noProof/>
          <w:sz w:val="22"/>
          <w:szCs w:val="22"/>
          <w:lang w:eastAsia="zh-TW"/>
        </w:rPr>
        <w:t xml:space="preserve">UE needs to meet the report requirements determined by RAN4. </w:t>
      </w:r>
    </w:p>
    <w:p w14:paraId="6E1F1978" w14:textId="77777777" w:rsidR="00666C06" w:rsidRDefault="00BD59EF" w:rsidP="00666C06">
      <w:pPr>
        <w:pStyle w:val="1"/>
      </w:pPr>
      <w:r>
        <w:rPr>
          <w:rFonts w:ascii="Times New Roman" w:eastAsiaTheme="minorEastAsia" w:hAnsi="Times New Roman" w:cs="Arial"/>
          <w:b/>
          <w:bCs/>
          <w:noProof/>
          <w:kern w:val="2"/>
          <w:sz w:val="22"/>
          <w:szCs w:val="22"/>
          <w:lang w:eastAsia="zh-TW"/>
        </w:rPr>
        <w:t xml:space="preserve">  </w:t>
      </w:r>
      <w:bookmarkStart w:id="53" w:name="OLE_LINK134"/>
      <w:r w:rsidR="00666C06">
        <w:t>Conclusion</w:t>
      </w:r>
    </w:p>
    <w:p w14:paraId="243121D9" w14:textId="3203362F" w:rsidR="006E74C2" w:rsidRDefault="006E74C2" w:rsidP="006E74C2">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Temporal case A for event prediction:</w:t>
      </w:r>
    </w:p>
    <w:p w14:paraId="0495A2F6" w14:textId="77777777" w:rsidR="006E74C2" w:rsidRDefault="006E74C2" w:rsidP="006E74C2">
      <w:pPr>
        <w:rPr>
          <w:rFonts w:ascii="Times New Roman" w:eastAsia="DengXian" w:hAnsi="Times New Roman"/>
          <w:b/>
          <w:bCs/>
          <w:sz w:val="22"/>
          <w:szCs w:val="22"/>
          <w:lang w:val="en-US"/>
        </w:rPr>
      </w:pPr>
      <w:r>
        <w:rPr>
          <w:rFonts w:ascii="Times New Roman" w:eastAsia="DengXian" w:hAnsi="Times New Roman"/>
          <w:b/>
          <w:bCs/>
          <w:sz w:val="22"/>
          <w:szCs w:val="22"/>
          <w:lang w:val="en-US"/>
        </w:rPr>
        <w:t>Proposal 1: Temporal case A is not supported as a separate RRM measurement prediction use case. Temporal case A is by default supported for measurement event prediction.</w:t>
      </w:r>
    </w:p>
    <w:p w14:paraId="3F73CC1C" w14:textId="65B7B2BD" w:rsidR="005917B8" w:rsidRPr="00E243D2" w:rsidRDefault="005917B8" w:rsidP="005917B8">
      <w:pPr>
        <w:pStyle w:val="Comments"/>
        <w:spacing w:before="120" w:after="120"/>
        <w:jc w:val="both"/>
        <w:rPr>
          <w:rFonts w:ascii="Times New Roman" w:eastAsiaTheme="minorEastAsia" w:hAnsi="Times New Roman"/>
          <w:b/>
          <w:bCs/>
          <w:i w:val="0"/>
          <w:sz w:val="22"/>
          <w:szCs w:val="22"/>
          <w:u w:val="single"/>
        </w:rPr>
      </w:pPr>
      <w:r w:rsidRPr="00E243D2">
        <w:rPr>
          <w:rFonts w:ascii="Times New Roman" w:eastAsiaTheme="minorEastAsia" w:hAnsi="Times New Roman"/>
          <w:b/>
          <w:bCs/>
          <w:i w:val="0"/>
          <w:sz w:val="22"/>
          <w:szCs w:val="22"/>
          <w:u w:val="single"/>
        </w:rPr>
        <w:t>UE capability:</w:t>
      </w:r>
    </w:p>
    <w:p w14:paraId="5FA35A1F" w14:textId="56F851AC" w:rsidR="006E74C2" w:rsidRDefault="006E74C2" w:rsidP="006E74C2">
      <w:pPr>
        <w:rPr>
          <w:rFonts w:ascii="Times New Roman" w:eastAsia="DengXian" w:hAnsi="Times New Roman"/>
          <w:sz w:val="22"/>
          <w:szCs w:val="22"/>
          <w:lang w:val="en-US"/>
        </w:rPr>
      </w:pPr>
      <w:r>
        <w:rPr>
          <w:rFonts w:ascii="Times New Roman" w:eastAsiaTheme="minorEastAsia" w:hAnsi="Times New Roman"/>
          <w:b/>
          <w:bCs/>
          <w:sz w:val="22"/>
          <w:szCs w:val="22"/>
          <w:lang w:val="en-US" w:eastAsia="zh-TW"/>
        </w:rPr>
        <w:t xml:space="preserve">Proposal 2: RAN2 consider </w:t>
      </w:r>
      <w:r w:rsidR="00873031">
        <w:rPr>
          <w:rFonts w:ascii="Times New Roman" w:eastAsiaTheme="minorEastAsia" w:hAnsi="Times New Roman"/>
          <w:b/>
          <w:bCs/>
          <w:sz w:val="22"/>
          <w:szCs w:val="22"/>
          <w:lang w:val="en-US" w:eastAsia="zh-TW"/>
        </w:rPr>
        <w:t>separate</w:t>
      </w:r>
      <w:r>
        <w:rPr>
          <w:rFonts w:ascii="Times New Roman" w:eastAsiaTheme="minorEastAsia" w:hAnsi="Times New Roman"/>
          <w:b/>
          <w:bCs/>
          <w:sz w:val="22"/>
          <w:szCs w:val="22"/>
          <w:lang w:val="en-US" w:eastAsia="zh-TW"/>
        </w:rPr>
        <w:t xml:space="preserve"> capability bits to indicate UE capability for (1) RRM temporal domain case B (2) RRM inter-</w:t>
      </w:r>
      <w:proofErr w:type="spellStart"/>
      <w:r>
        <w:rPr>
          <w:rFonts w:ascii="Times New Roman" w:eastAsiaTheme="minorEastAsia" w:hAnsi="Times New Roman"/>
          <w:b/>
          <w:bCs/>
          <w:sz w:val="22"/>
          <w:szCs w:val="22"/>
          <w:lang w:val="en-US" w:eastAsia="zh-TW"/>
        </w:rPr>
        <w:t>freq</w:t>
      </w:r>
      <w:proofErr w:type="spellEnd"/>
      <w:r>
        <w:rPr>
          <w:rFonts w:ascii="Times New Roman" w:eastAsiaTheme="minorEastAsia" w:hAnsi="Times New Roman"/>
          <w:b/>
          <w:bCs/>
          <w:sz w:val="22"/>
          <w:szCs w:val="22"/>
          <w:lang w:val="en-US" w:eastAsia="zh-TW"/>
        </w:rPr>
        <w:t xml:space="preserve"> prediction (3) measurement event prediction (including temporal case A). </w:t>
      </w:r>
    </w:p>
    <w:p w14:paraId="7AB8DF70" w14:textId="77777777" w:rsidR="00521153" w:rsidRDefault="00521153" w:rsidP="00521153">
      <w:pPr>
        <w:rPr>
          <w:rFonts w:ascii="Times New Roman" w:eastAsia="DengXian" w:hAnsi="Times New Roman"/>
          <w:sz w:val="22"/>
          <w:szCs w:val="22"/>
          <w:lang w:val="en-US"/>
        </w:rPr>
      </w:pPr>
      <w:r>
        <w:rPr>
          <w:rFonts w:ascii="Times New Roman" w:eastAsiaTheme="minorEastAsia" w:hAnsi="Times New Roman"/>
          <w:b/>
          <w:bCs/>
          <w:sz w:val="22"/>
          <w:szCs w:val="22"/>
          <w:lang w:val="en-US" w:eastAsia="zh-TW"/>
        </w:rPr>
        <w:t xml:space="preserve">Proposal </w:t>
      </w:r>
      <w:r>
        <w:rPr>
          <w:rFonts w:ascii="Times New Roman" w:eastAsia="DengXian" w:hAnsi="Times New Roman"/>
          <w:b/>
          <w:bCs/>
          <w:sz w:val="22"/>
          <w:szCs w:val="22"/>
          <w:lang w:val="en-US"/>
        </w:rPr>
        <w:t>3</w:t>
      </w:r>
      <w:r>
        <w:rPr>
          <w:rFonts w:ascii="Times New Roman" w:eastAsiaTheme="minorEastAsia" w:hAnsi="Times New Roman"/>
          <w:b/>
          <w:bCs/>
          <w:sz w:val="22"/>
          <w:szCs w:val="22"/>
          <w:lang w:val="en-US" w:eastAsia="zh-TW"/>
        </w:rPr>
        <w:t xml:space="preserve">: </w:t>
      </w:r>
      <w:r>
        <w:rPr>
          <w:rFonts w:ascii="Times New Roman" w:eastAsia="DengXian" w:hAnsi="Times New Roman"/>
          <w:b/>
          <w:bCs/>
          <w:sz w:val="22"/>
          <w:szCs w:val="22"/>
          <w:lang w:val="en-US"/>
        </w:rPr>
        <w:t xml:space="preserve">The </w:t>
      </w:r>
      <w:r>
        <w:rPr>
          <w:rFonts w:ascii="Times New Roman" w:eastAsiaTheme="minorEastAsia" w:hAnsi="Times New Roman"/>
          <w:b/>
          <w:bCs/>
          <w:sz w:val="22"/>
          <w:szCs w:val="22"/>
          <w:lang w:val="en-US" w:eastAsia="zh-TW"/>
        </w:rPr>
        <w:t>UE report</w:t>
      </w:r>
      <w:r>
        <w:rPr>
          <w:rFonts w:ascii="Times New Roman" w:eastAsia="DengXian" w:hAnsi="Times New Roman"/>
          <w:b/>
          <w:bCs/>
          <w:sz w:val="22"/>
          <w:szCs w:val="22"/>
          <w:lang w:val="en-US"/>
        </w:rPr>
        <w:t>s</w:t>
      </w:r>
      <w:r>
        <w:rPr>
          <w:rFonts w:ascii="Times New Roman" w:eastAsiaTheme="minorEastAsia" w:hAnsi="Times New Roman"/>
          <w:b/>
          <w:bCs/>
          <w:sz w:val="22"/>
          <w:szCs w:val="22"/>
          <w:lang w:val="en-US" w:eastAsia="zh-TW"/>
        </w:rPr>
        <w:t xml:space="preserve"> </w:t>
      </w:r>
      <w:r>
        <w:rPr>
          <w:rFonts w:ascii="Times New Roman" w:eastAsia="DengXian" w:hAnsi="Times New Roman"/>
          <w:b/>
          <w:bCs/>
          <w:sz w:val="22"/>
          <w:szCs w:val="22"/>
          <w:lang w:val="en-US"/>
        </w:rPr>
        <w:t>AI MOB related</w:t>
      </w:r>
      <w:r>
        <w:rPr>
          <w:rFonts w:ascii="Times New Roman" w:eastAsiaTheme="minorEastAsia" w:hAnsi="Times New Roman"/>
          <w:b/>
          <w:bCs/>
          <w:sz w:val="22"/>
          <w:szCs w:val="22"/>
          <w:lang w:val="en-US" w:eastAsia="zh-TW"/>
        </w:rPr>
        <w:t xml:space="preserve"> capability to </w:t>
      </w:r>
      <w:r>
        <w:rPr>
          <w:rFonts w:ascii="Times New Roman" w:eastAsia="DengXian" w:hAnsi="Times New Roman"/>
          <w:b/>
          <w:bCs/>
          <w:sz w:val="22"/>
          <w:szCs w:val="22"/>
          <w:lang w:val="en-US"/>
        </w:rPr>
        <w:t xml:space="preserve">the </w:t>
      </w:r>
      <w:r>
        <w:rPr>
          <w:rFonts w:ascii="Times New Roman" w:eastAsiaTheme="minorEastAsia" w:hAnsi="Times New Roman"/>
          <w:b/>
          <w:bCs/>
          <w:sz w:val="22"/>
          <w:szCs w:val="22"/>
          <w:lang w:val="en-US" w:eastAsia="zh-TW"/>
        </w:rPr>
        <w:t xml:space="preserve">NW via </w:t>
      </w:r>
      <w:proofErr w:type="spellStart"/>
      <w:r>
        <w:rPr>
          <w:rFonts w:ascii="Times New Roman" w:eastAsia="DengXian" w:hAnsi="Times New Roman"/>
          <w:b/>
          <w:bCs/>
          <w:i/>
          <w:iCs/>
          <w:sz w:val="22"/>
          <w:szCs w:val="22"/>
          <w:lang w:val="en-US"/>
        </w:rPr>
        <w:t>measAndMobParameters</w:t>
      </w:r>
      <w:proofErr w:type="spellEnd"/>
      <w:r>
        <w:rPr>
          <w:rFonts w:ascii="Times New Roman" w:eastAsia="DengXian" w:hAnsi="Times New Roman"/>
          <w:b/>
          <w:bCs/>
          <w:i/>
          <w:iCs/>
          <w:sz w:val="22"/>
          <w:szCs w:val="22"/>
          <w:lang w:val="en-US"/>
        </w:rPr>
        <w:t>/</w:t>
      </w:r>
      <w:proofErr w:type="spellStart"/>
      <w:r>
        <w:rPr>
          <w:rFonts w:ascii="Times New Roman" w:eastAsia="DengXian" w:hAnsi="Times New Roman"/>
          <w:b/>
          <w:bCs/>
          <w:i/>
          <w:iCs/>
          <w:sz w:val="22"/>
          <w:szCs w:val="22"/>
          <w:lang w:val="en-US"/>
        </w:rPr>
        <w:t>MeasAndMobParametersCommon</w:t>
      </w:r>
      <w:proofErr w:type="spellEnd"/>
      <w:r>
        <w:rPr>
          <w:rFonts w:ascii="Times New Roman" w:eastAsia="DengXian" w:hAnsi="Times New Roman"/>
          <w:b/>
          <w:bCs/>
          <w:i/>
          <w:iCs/>
          <w:sz w:val="22"/>
          <w:szCs w:val="22"/>
          <w:lang w:val="en-US"/>
        </w:rPr>
        <w:t xml:space="preserve"> </w:t>
      </w:r>
      <w:r>
        <w:rPr>
          <w:rFonts w:ascii="Times New Roman" w:eastAsia="DengXian" w:hAnsi="Times New Roman"/>
          <w:b/>
          <w:bCs/>
          <w:sz w:val="22"/>
          <w:szCs w:val="22"/>
          <w:lang w:val="en-US"/>
        </w:rPr>
        <w:t>in</w:t>
      </w:r>
      <w:r>
        <w:rPr>
          <w:rFonts w:ascii="Times New Roman" w:eastAsia="DengXian" w:hAnsi="Times New Roman"/>
          <w:b/>
          <w:bCs/>
          <w:i/>
          <w:iCs/>
          <w:sz w:val="22"/>
          <w:szCs w:val="22"/>
          <w:lang w:val="en-US"/>
        </w:rPr>
        <w:t xml:space="preserve"> UE-NR-Capability.</w:t>
      </w:r>
    </w:p>
    <w:p w14:paraId="4DE58E00" w14:textId="623E5BC5" w:rsidR="005917B8" w:rsidRPr="00E243D2" w:rsidRDefault="005917B8" w:rsidP="005917B8">
      <w:pPr>
        <w:pStyle w:val="Comments"/>
        <w:spacing w:before="120" w:after="120"/>
        <w:jc w:val="both"/>
        <w:rPr>
          <w:rFonts w:ascii="Times New Roman" w:eastAsiaTheme="minorEastAsia" w:hAnsi="Times New Roman"/>
          <w:b/>
          <w:bCs/>
          <w:i w:val="0"/>
          <w:sz w:val="22"/>
          <w:szCs w:val="22"/>
          <w:u w:val="single"/>
        </w:rPr>
      </w:pPr>
      <w:r w:rsidRPr="00E243D2">
        <w:rPr>
          <w:rFonts w:ascii="Times New Roman" w:eastAsiaTheme="minorEastAsia" w:hAnsi="Times New Roman" w:hint="eastAsia"/>
          <w:b/>
          <w:bCs/>
          <w:i w:val="0"/>
          <w:sz w:val="22"/>
          <w:szCs w:val="22"/>
          <w:u w:val="single"/>
        </w:rPr>
        <w:t>I</w:t>
      </w:r>
      <w:r w:rsidRPr="00E243D2">
        <w:rPr>
          <w:rFonts w:ascii="Times New Roman" w:eastAsiaTheme="minorEastAsia" w:hAnsi="Times New Roman"/>
          <w:b/>
          <w:bCs/>
          <w:i w:val="0"/>
          <w:sz w:val="22"/>
          <w:szCs w:val="22"/>
          <w:u w:val="single"/>
        </w:rPr>
        <w:t>nference configuration:</w:t>
      </w:r>
    </w:p>
    <w:p w14:paraId="178BBDBE" w14:textId="77777777" w:rsidR="00521153" w:rsidRDefault="00521153" w:rsidP="005917B8">
      <w:pPr>
        <w:pStyle w:val="Comments"/>
        <w:spacing w:before="120"/>
        <w:rPr>
          <w:rFonts w:ascii="Times New Roman" w:eastAsiaTheme="minorEastAsia" w:hAnsi="Times New Roman" w:cs="Times New Roman"/>
          <w:b/>
          <w:bCs/>
          <w:i w:val="0"/>
          <w:noProof w:val="0"/>
          <w:kern w:val="0"/>
          <w:sz w:val="22"/>
          <w:szCs w:val="22"/>
        </w:rPr>
      </w:pPr>
      <w:r w:rsidRPr="00521153">
        <w:rPr>
          <w:rFonts w:ascii="Times New Roman" w:eastAsiaTheme="minorEastAsia" w:hAnsi="Times New Roman" w:cs="Times New Roman"/>
          <w:b/>
          <w:bCs/>
          <w:i w:val="0"/>
          <w:noProof w:val="0"/>
          <w:kern w:val="0"/>
          <w:sz w:val="22"/>
          <w:szCs w:val="22"/>
        </w:rPr>
        <w:t xml:space="preserve">Observation 1: For UE-sided model RRM prediction, NW needs to configure information about the predicted target to UE. This may include the timing and frequency location of the predicted target and the related information to perform inference such as PW length, skipping pattern, etc. </w:t>
      </w:r>
    </w:p>
    <w:p w14:paraId="16BE0040" w14:textId="77777777" w:rsidR="00521153" w:rsidRDefault="00521153" w:rsidP="00521153">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4: NW provide full inference configuration to UE via </w:t>
      </w:r>
      <w:r>
        <w:rPr>
          <w:rFonts w:ascii="Times New Roman" w:eastAsiaTheme="minorEastAsia" w:hAnsi="Times New Roman"/>
          <w:b/>
          <w:bCs/>
          <w:iCs/>
          <w:sz w:val="22"/>
          <w:szCs w:val="22"/>
        </w:rPr>
        <w:t>MeasConfig</w:t>
      </w:r>
      <w:r>
        <w:rPr>
          <w:rFonts w:ascii="Times New Roman" w:eastAsiaTheme="minorEastAsia" w:hAnsi="Times New Roman"/>
          <w:b/>
          <w:bCs/>
          <w:i w:val="0"/>
          <w:sz w:val="22"/>
          <w:szCs w:val="22"/>
        </w:rPr>
        <w:t xml:space="preserve">, which contains </w:t>
      </w:r>
    </w:p>
    <w:p w14:paraId="121C44BC" w14:textId="77777777" w:rsidR="00521153" w:rsidRDefault="00521153" w:rsidP="00521153">
      <w:pPr>
        <w:pStyle w:val="Comments"/>
        <w:numPr>
          <w:ilvl w:val="0"/>
          <w:numId w:val="8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(via </w:t>
      </w:r>
      <w:r>
        <w:rPr>
          <w:rFonts w:ascii="Times New Roman" w:eastAsiaTheme="minorEastAsia" w:hAnsi="Times New Roman"/>
          <w:b/>
          <w:bCs/>
          <w:iCs/>
          <w:sz w:val="22"/>
          <w:szCs w:val="22"/>
          <w:u w:val="single"/>
        </w:rPr>
        <w:t>MeasObject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measurement/observed target.</w:t>
      </w:r>
    </w:p>
    <w:p w14:paraId="61859D96" w14:textId="77777777" w:rsidR="00521153" w:rsidRDefault="00521153" w:rsidP="00521153">
      <w:pPr>
        <w:pStyle w:val="Comments"/>
        <w:numPr>
          <w:ilvl w:val="0"/>
          <w:numId w:val="8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Report configuration (via </w:t>
      </w:r>
      <w:r>
        <w:rPr>
          <w:rFonts w:ascii="Times New Roman" w:eastAsiaTheme="minorEastAsia" w:hAnsi="Times New Roman"/>
          <w:b/>
          <w:bCs/>
          <w:iCs/>
          <w:sz w:val="22"/>
          <w:szCs w:val="22"/>
          <w:u w:val="single"/>
        </w:rPr>
        <w:t>ReportConfig</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triggering condition and report quantity for the measurement report.</w:t>
      </w:r>
    </w:p>
    <w:p w14:paraId="5DFB73A9" w14:textId="77777777" w:rsidR="00521153" w:rsidRDefault="00521153" w:rsidP="00521153">
      <w:pPr>
        <w:pStyle w:val="Comments"/>
        <w:numPr>
          <w:ilvl w:val="0"/>
          <w:numId w:val="8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Predicted object (via </w:t>
      </w:r>
      <w:r>
        <w:rPr>
          <w:rFonts w:ascii="Times New Roman" w:eastAsiaTheme="minorEastAsia" w:hAnsi="Times New Roman"/>
          <w:b/>
          <w:bCs/>
          <w:iCs/>
          <w:sz w:val="22"/>
          <w:szCs w:val="22"/>
          <w:u w:val="single"/>
        </w:rPr>
        <w:t>PredObject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inference/predicted target (can reuse </w:t>
      </w:r>
      <w:r>
        <w:rPr>
          <w:rFonts w:ascii="Times New Roman" w:eastAsiaTheme="minorEastAsia" w:hAnsi="Times New Roman"/>
          <w:b/>
          <w:bCs/>
          <w:iCs/>
          <w:sz w:val="22"/>
          <w:szCs w:val="22"/>
        </w:rPr>
        <w:t>MeasObject</w:t>
      </w:r>
      <w:r>
        <w:rPr>
          <w:rFonts w:ascii="Times New Roman" w:eastAsiaTheme="minorEastAsia" w:hAnsi="Times New Roman"/>
          <w:b/>
          <w:bCs/>
          <w:i w:val="0"/>
          <w:sz w:val="22"/>
          <w:szCs w:val="22"/>
        </w:rPr>
        <w:t xml:space="preserve"> if applicable).</w:t>
      </w:r>
    </w:p>
    <w:p w14:paraId="1290F104" w14:textId="77777777" w:rsidR="00521153" w:rsidRDefault="00521153" w:rsidP="00521153">
      <w:pPr>
        <w:pStyle w:val="Comments"/>
        <w:numPr>
          <w:ilvl w:val="0"/>
          <w:numId w:val="8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Inference identity (via </w:t>
      </w:r>
      <w:r>
        <w:rPr>
          <w:rFonts w:ascii="Times New Roman" w:eastAsiaTheme="minorEastAsia" w:hAnsi="Times New Roman"/>
          <w:b/>
          <w:bCs/>
          <w:iCs/>
          <w:sz w:val="22"/>
          <w:szCs w:val="22"/>
          <w:u w:val="single"/>
        </w:rPr>
        <w:t>InferenceId</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Refers to an identity (can reuse </w:t>
      </w:r>
      <w:r>
        <w:rPr>
          <w:rFonts w:ascii="Times New Roman" w:eastAsiaTheme="minorEastAsia" w:hAnsi="Times New Roman"/>
          <w:b/>
          <w:bCs/>
          <w:iCs/>
          <w:sz w:val="22"/>
          <w:szCs w:val="22"/>
        </w:rPr>
        <w:t>MeasId</w:t>
      </w:r>
      <w:r>
        <w:rPr>
          <w:rFonts w:ascii="Times New Roman" w:eastAsiaTheme="minorEastAsia" w:hAnsi="Times New Roman"/>
          <w:b/>
          <w:bCs/>
          <w:i w:val="0"/>
          <w:sz w:val="22"/>
          <w:szCs w:val="22"/>
        </w:rPr>
        <w:t xml:space="preserve"> if applicable) that provides the mapping of a measurement object, a predicted object, and a report configuration</w:t>
      </w:r>
      <w:r>
        <w:rPr>
          <w:rFonts w:ascii="Times New Roman" w:eastAsiaTheme="minorEastAsia" w:hAnsi="Times New Roman"/>
          <w:b/>
          <w:bCs/>
          <w:i w:val="0"/>
          <w:strike/>
          <w:sz w:val="22"/>
          <w:szCs w:val="22"/>
        </w:rPr>
        <w:t>.</w:t>
      </w:r>
    </w:p>
    <w:p w14:paraId="5D7AD907" w14:textId="77777777" w:rsidR="00521153" w:rsidRDefault="00521153" w:rsidP="00521153">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 xml:space="preserve">Proposal 5: For intra-freq prediction and measurement event prediction for which prediction object and measurement object refer to the same one, the predicted object could be optional.  </w:t>
      </w:r>
    </w:p>
    <w:p w14:paraId="0AE9E4E0" w14:textId="286E44E7" w:rsidR="005917B8" w:rsidRDefault="005917B8" w:rsidP="005917B8">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Applicability:</w:t>
      </w:r>
    </w:p>
    <w:p w14:paraId="455B4DA3" w14:textId="0AE82594" w:rsidR="005917B8" w:rsidRDefault="005917B8" w:rsidP="005917B8">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How to support Option B:</w:t>
      </w:r>
    </w:p>
    <w:p w14:paraId="3E5E1770" w14:textId="0D01F351" w:rsidR="00521153" w:rsidRDefault="00521153" w:rsidP="00521153">
      <w:pPr>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 xml:space="preserve">Proposal 6: RAN2 discuss whether the UE need to have the MO configuration via </w:t>
      </w:r>
      <w:proofErr w:type="spellStart"/>
      <w:r>
        <w:rPr>
          <w:rFonts w:ascii="Times New Roman" w:eastAsiaTheme="minorEastAsia" w:hAnsi="Times New Roman"/>
          <w:b/>
          <w:bCs/>
          <w:i/>
          <w:iCs/>
          <w:sz w:val="22"/>
          <w:szCs w:val="22"/>
          <w:lang w:eastAsia="zh-TW"/>
        </w:rPr>
        <w:t>MeasConfig</w:t>
      </w:r>
      <w:proofErr w:type="spellEnd"/>
      <w:r>
        <w:rPr>
          <w:rFonts w:ascii="Times New Roman" w:eastAsiaTheme="minorEastAsia" w:hAnsi="Times New Roman"/>
          <w:b/>
          <w:bCs/>
          <w:sz w:val="22"/>
          <w:szCs w:val="22"/>
          <w:lang w:eastAsia="zh-TW"/>
        </w:rPr>
        <w:t xml:space="preserve"> in step 3. If not, FFS how to indicate the link between the inference parameter</w:t>
      </w:r>
      <w:r w:rsidR="00BE5B94">
        <w:rPr>
          <w:rFonts w:ascii="Times New Roman" w:eastAsiaTheme="minorEastAsia" w:hAnsi="Times New Roman"/>
          <w:b/>
          <w:bCs/>
          <w:sz w:val="22"/>
          <w:szCs w:val="22"/>
          <w:lang w:eastAsia="zh-TW"/>
        </w:rPr>
        <w:t>s</w:t>
      </w:r>
      <w:r>
        <w:rPr>
          <w:rFonts w:ascii="Times New Roman" w:eastAsiaTheme="minorEastAsia" w:hAnsi="Times New Roman"/>
          <w:b/>
          <w:bCs/>
          <w:sz w:val="22"/>
          <w:szCs w:val="22"/>
          <w:lang w:eastAsia="zh-TW"/>
        </w:rPr>
        <w:t xml:space="preserve"> and corresponding MO</w:t>
      </w:r>
      <w:r w:rsidR="00BE5B94">
        <w:rPr>
          <w:rFonts w:ascii="Times New Roman" w:eastAsiaTheme="minorEastAsia" w:hAnsi="Times New Roman"/>
          <w:b/>
          <w:bCs/>
          <w:sz w:val="22"/>
          <w:szCs w:val="22"/>
          <w:lang w:eastAsia="zh-TW"/>
        </w:rPr>
        <w:t>s</w:t>
      </w:r>
      <w:r>
        <w:rPr>
          <w:rFonts w:ascii="Times New Roman" w:eastAsiaTheme="minorEastAsia" w:hAnsi="Times New Roman"/>
          <w:b/>
          <w:bCs/>
          <w:sz w:val="22"/>
          <w:szCs w:val="22"/>
          <w:lang w:eastAsia="zh-TW"/>
        </w:rPr>
        <w:t xml:space="preserve"> in </w:t>
      </w:r>
      <w:proofErr w:type="spellStart"/>
      <w:r>
        <w:rPr>
          <w:rFonts w:ascii="Times New Roman" w:eastAsiaTheme="minorEastAsia" w:hAnsi="Times New Roman"/>
          <w:b/>
          <w:bCs/>
          <w:i/>
          <w:iCs/>
          <w:sz w:val="22"/>
          <w:szCs w:val="22"/>
          <w:lang w:eastAsia="zh-TW"/>
        </w:rPr>
        <w:t>OtherConfig</w:t>
      </w:r>
      <w:proofErr w:type="spellEnd"/>
      <w:r>
        <w:rPr>
          <w:rFonts w:ascii="Times New Roman" w:eastAsiaTheme="minorEastAsia" w:hAnsi="Times New Roman"/>
          <w:b/>
          <w:bCs/>
          <w:sz w:val="22"/>
          <w:szCs w:val="22"/>
          <w:lang w:eastAsia="zh-TW"/>
        </w:rPr>
        <w:t>.</w:t>
      </w:r>
    </w:p>
    <w:p w14:paraId="4F0A1FB0" w14:textId="4241B5F4" w:rsidR="005917B8" w:rsidRDefault="005917B8" w:rsidP="005917B8">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 xml:space="preserve">Applicability </w:t>
      </w:r>
      <w:r>
        <w:rPr>
          <w:rFonts w:ascii="Times New Roman" w:eastAsiaTheme="minorEastAsia" w:hAnsi="Times New Roman" w:hint="eastAsia"/>
          <w:i w:val="0"/>
          <w:sz w:val="22"/>
          <w:szCs w:val="22"/>
          <w:u w:val="single"/>
        </w:rPr>
        <w:t>Re</w:t>
      </w:r>
      <w:r>
        <w:rPr>
          <w:rFonts w:ascii="Times New Roman" w:eastAsiaTheme="minorEastAsia" w:hAnsi="Times New Roman"/>
          <w:i w:val="0"/>
          <w:sz w:val="22"/>
          <w:szCs w:val="22"/>
          <w:u w:val="single"/>
        </w:rPr>
        <w:t>port configuration:</w:t>
      </w:r>
    </w:p>
    <w:p w14:paraId="7A355C1D" w14:textId="77777777" w:rsidR="00521153" w:rsidRDefault="00521153" w:rsidP="00521153">
      <w:pPr>
        <w:rPr>
          <w:rFonts w:ascii="Times New Roman" w:eastAsia="DengXian" w:hAnsi="Times New Roman"/>
          <w:b/>
          <w:bCs/>
          <w:sz w:val="22"/>
          <w:szCs w:val="22"/>
          <w:lang w:val="en-US"/>
        </w:rPr>
      </w:pPr>
      <w:r>
        <w:rPr>
          <w:rFonts w:ascii="Times New Roman" w:eastAsia="DengXian" w:hAnsi="Times New Roman"/>
          <w:b/>
          <w:bCs/>
          <w:sz w:val="22"/>
          <w:szCs w:val="22"/>
          <w:lang w:val="en-US"/>
        </w:rPr>
        <w:t>Proposal 7: For applicability determination procedure,</w:t>
      </w:r>
    </w:p>
    <w:p w14:paraId="6C1BCD5A" w14:textId="77777777" w:rsidR="00521153" w:rsidRDefault="00521153" w:rsidP="00521153">
      <w:pPr>
        <w:pStyle w:val="af0"/>
        <w:numPr>
          <w:ilvl w:val="0"/>
          <w:numId w:val="83"/>
        </w:numPr>
        <w:ind w:leftChars="0"/>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Option A: UE determine applicability for each full inference configuration contained in </w:t>
      </w:r>
      <w:proofErr w:type="spellStart"/>
      <w:r>
        <w:rPr>
          <w:rFonts w:ascii="Times New Roman" w:eastAsia="DengXian" w:hAnsi="Times New Roman"/>
          <w:b/>
          <w:bCs/>
          <w:i/>
          <w:iCs/>
          <w:sz w:val="22"/>
          <w:szCs w:val="22"/>
          <w:lang w:val="en-US"/>
        </w:rPr>
        <w:t>MeasConfig</w:t>
      </w:r>
      <w:proofErr w:type="spellEnd"/>
      <w:r>
        <w:rPr>
          <w:rFonts w:ascii="Times New Roman" w:eastAsia="DengXian" w:hAnsi="Times New Roman"/>
          <w:b/>
          <w:bCs/>
          <w:sz w:val="22"/>
          <w:szCs w:val="22"/>
          <w:lang w:val="en-US"/>
        </w:rPr>
        <w:t xml:space="preserve">. </w:t>
      </w:r>
      <w:proofErr w:type="spellStart"/>
      <w:r>
        <w:rPr>
          <w:rFonts w:ascii="Times New Roman" w:eastAsia="DengXian" w:hAnsi="Times New Roman"/>
          <w:b/>
          <w:bCs/>
          <w:i/>
          <w:iCs/>
          <w:sz w:val="22"/>
          <w:szCs w:val="22"/>
          <w:lang w:val="en-US"/>
        </w:rPr>
        <w:t>InferenceId</w:t>
      </w:r>
      <w:proofErr w:type="spellEnd"/>
      <w:r>
        <w:rPr>
          <w:rFonts w:ascii="Times New Roman" w:eastAsia="DengXian" w:hAnsi="Times New Roman"/>
          <w:b/>
          <w:bCs/>
          <w:sz w:val="22"/>
          <w:szCs w:val="22"/>
          <w:lang w:val="en-US"/>
        </w:rPr>
        <w:t xml:space="preserve"> can be used to indicate the ID of the configuration for applicability report. </w:t>
      </w:r>
    </w:p>
    <w:p w14:paraId="01A1E99D" w14:textId="77777777" w:rsidR="00521153" w:rsidRDefault="00521153" w:rsidP="00521153">
      <w:pPr>
        <w:pStyle w:val="af0"/>
        <w:numPr>
          <w:ilvl w:val="0"/>
          <w:numId w:val="83"/>
        </w:numPr>
        <w:ind w:leftChars="0"/>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Option B: UE determine applicability for each set of inference parameters contained in </w:t>
      </w:r>
      <w:proofErr w:type="spellStart"/>
      <w:r>
        <w:rPr>
          <w:rFonts w:ascii="Times New Roman" w:eastAsia="DengXian" w:hAnsi="Times New Roman"/>
          <w:b/>
          <w:bCs/>
          <w:i/>
          <w:iCs/>
          <w:sz w:val="22"/>
          <w:szCs w:val="22"/>
          <w:lang w:val="en-US"/>
        </w:rPr>
        <w:t>OtherConfig</w:t>
      </w:r>
      <w:proofErr w:type="spellEnd"/>
      <w:r>
        <w:rPr>
          <w:rFonts w:ascii="Times New Roman" w:eastAsia="DengXian" w:hAnsi="Times New Roman"/>
          <w:b/>
          <w:bCs/>
          <w:sz w:val="22"/>
          <w:szCs w:val="22"/>
          <w:lang w:val="en-US"/>
        </w:rPr>
        <w:t xml:space="preserve">. </w:t>
      </w:r>
      <w:proofErr w:type="spellStart"/>
      <w:r>
        <w:rPr>
          <w:rFonts w:ascii="Times New Roman" w:eastAsia="DengXian" w:hAnsi="Times New Roman"/>
          <w:b/>
          <w:bCs/>
          <w:i/>
          <w:iCs/>
          <w:sz w:val="22"/>
          <w:szCs w:val="22"/>
          <w:lang w:val="en-US"/>
        </w:rPr>
        <w:t>applicabilitySetConfigId</w:t>
      </w:r>
      <w:proofErr w:type="spellEnd"/>
      <w:r>
        <w:rPr>
          <w:rFonts w:ascii="Times New Roman" w:eastAsia="DengXian" w:hAnsi="Times New Roman"/>
          <w:b/>
          <w:bCs/>
          <w:sz w:val="22"/>
          <w:szCs w:val="22"/>
          <w:lang w:val="en-US"/>
        </w:rPr>
        <w:t xml:space="preserve"> can be used to indicate the ID of the set of parameters for applicability report.</w:t>
      </w:r>
    </w:p>
    <w:p w14:paraId="6C39449E" w14:textId="7B6A860E" w:rsidR="005917B8" w:rsidRDefault="005917B8" w:rsidP="005917B8">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UE Autonomous Fallback:</w:t>
      </w:r>
    </w:p>
    <w:p w14:paraId="3475B886" w14:textId="77777777" w:rsidR="00521153" w:rsidRDefault="00521153" w:rsidP="00521153">
      <w:pPr>
        <w:pStyle w:val="3GPPHeader"/>
        <w:rPr>
          <w:lang w:val="en-US"/>
        </w:rPr>
      </w:pPr>
      <w:r>
        <w:rPr>
          <w:rFonts w:ascii="Times New Roman" w:eastAsia="DengXian" w:hAnsi="Times New Roman"/>
          <w:bCs/>
          <w:sz w:val="22"/>
          <w:szCs w:val="22"/>
          <w:lang w:val="en-US"/>
        </w:rPr>
        <w:t>Proposal 8: Same as AI-BM, the UE doesn’t autonomous release the inference configuration when it becomes inapplicable. But the UE can autonomously fallback to non-AI operation.</w:t>
      </w:r>
    </w:p>
    <w:p w14:paraId="7DC563BE" w14:textId="172FBBEF" w:rsidR="00E243D2" w:rsidRDefault="00E243D2" w:rsidP="00E243D2">
      <w:pPr>
        <w:pStyle w:val="Comments"/>
        <w:spacing w:before="120" w:after="120"/>
        <w:jc w:val="both"/>
        <w:rPr>
          <w:rFonts w:ascii="Times New Roman" w:eastAsiaTheme="minorEastAsia" w:hAnsi="Times New Roman"/>
          <w:b/>
          <w:bCs/>
          <w:i w:val="0"/>
          <w:sz w:val="22"/>
          <w:szCs w:val="22"/>
          <w:u w:val="single"/>
        </w:rPr>
      </w:pPr>
      <w:r w:rsidRPr="00E243D2">
        <w:rPr>
          <w:rFonts w:ascii="Times New Roman" w:eastAsiaTheme="minorEastAsia" w:hAnsi="Times New Roman"/>
          <w:b/>
          <w:bCs/>
          <w:i w:val="0"/>
          <w:sz w:val="22"/>
          <w:szCs w:val="22"/>
          <w:u w:val="single"/>
        </w:rPr>
        <w:t>Inference Report for measurement event prediction</w:t>
      </w:r>
      <w:r>
        <w:rPr>
          <w:rFonts w:ascii="Times New Roman" w:eastAsiaTheme="minorEastAsia" w:hAnsi="Times New Roman"/>
          <w:b/>
          <w:bCs/>
          <w:i w:val="0"/>
          <w:sz w:val="22"/>
          <w:szCs w:val="22"/>
          <w:u w:val="single"/>
        </w:rPr>
        <w:t>:</w:t>
      </w:r>
    </w:p>
    <w:p w14:paraId="578E12C4" w14:textId="77777777" w:rsidR="00521153" w:rsidRDefault="00521153" w:rsidP="00521153">
      <w:pPr>
        <w:rPr>
          <w:rFonts w:ascii="Times New Roman" w:eastAsia="DengXian" w:hAnsi="Times New Roman"/>
          <w:b/>
          <w:bCs/>
          <w:sz w:val="22"/>
          <w:szCs w:val="22"/>
        </w:rPr>
      </w:pPr>
      <w:r>
        <w:rPr>
          <w:rFonts w:ascii="Times New Roman" w:eastAsia="DengXian" w:hAnsi="Times New Roman"/>
          <w:b/>
          <w:bCs/>
          <w:sz w:val="22"/>
          <w:szCs w:val="22"/>
        </w:rPr>
        <w:t xml:space="preserve">Observation 2: Handover </w:t>
      </w:r>
      <w:proofErr w:type="spellStart"/>
      <w:r>
        <w:rPr>
          <w:rFonts w:ascii="Times New Roman" w:eastAsia="DengXian" w:hAnsi="Times New Roman"/>
          <w:b/>
          <w:bCs/>
          <w:sz w:val="22"/>
          <w:szCs w:val="22"/>
        </w:rPr>
        <w:t>modeling</w:t>
      </w:r>
      <w:proofErr w:type="spellEnd"/>
      <w:r>
        <w:rPr>
          <w:rFonts w:ascii="Times New Roman" w:eastAsia="DengXian" w:hAnsi="Times New Roman"/>
          <w:b/>
          <w:bCs/>
          <w:sz w:val="22"/>
          <w:szCs w:val="22"/>
        </w:rPr>
        <w:t xml:space="preserve"> option 1 offers very limited performance gain, while causing significant impacts on current specifications, such as increased prediction measurement reporting and </w:t>
      </w:r>
      <w:proofErr w:type="spellStart"/>
      <w:r>
        <w:rPr>
          <w:rFonts w:ascii="Times New Roman" w:eastAsia="DengXian" w:hAnsi="Times New Roman"/>
          <w:b/>
          <w:bCs/>
          <w:sz w:val="22"/>
          <w:szCs w:val="22"/>
        </w:rPr>
        <w:t>signaling</w:t>
      </w:r>
      <w:proofErr w:type="spellEnd"/>
      <w:r>
        <w:rPr>
          <w:rFonts w:ascii="Times New Roman" w:eastAsia="DengXian" w:hAnsi="Times New Roman"/>
          <w:b/>
          <w:bCs/>
          <w:sz w:val="22"/>
          <w:szCs w:val="22"/>
        </w:rPr>
        <w:t xml:space="preserve"> overhead.</w:t>
      </w:r>
    </w:p>
    <w:p w14:paraId="4401934B" w14:textId="77777777" w:rsidR="008725D9" w:rsidRDefault="008725D9" w:rsidP="008725D9">
      <w:pPr>
        <w:spacing w:before="120"/>
        <w:rPr>
          <w:rFonts w:ascii="Times New Roman" w:eastAsia="DengXian" w:hAnsi="Times New Roman"/>
          <w:b/>
          <w:bCs/>
          <w:sz w:val="22"/>
          <w:szCs w:val="22"/>
        </w:rPr>
      </w:pPr>
      <w:r>
        <w:rPr>
          <w:rFonts w:ascii="Times New Roman" w:eastAsia="DengXian" w:hAnsi="Times New Roman"/>
          <w:b/>
          <w:bCs/>
          <w:sz w:val="22"/>
          <w:szCs w:val="22"/>
        </w:rPr>
        <w:t xml:space="preserve">Proposal 9: Unless additional evidence emerges to justify the necessity of option 1, RAN2 at this stage focus the normative work for the LCM procedure in temporal case A on HO </w:t>
      </w:r>
      <w:proofErr w:type="spellStart"/>
      <w:r>
        <w:rPr>
          <w:rFonts w:ascii="Times New Roman" w:eastAsia="DengXian" w:hAnsi="Times New Roman"/>
          <w:b/>
          <w:bCs/>
          <w:sz w:val="22"/>
          <w:szCs w:val="22"/>
        </w:rPr>
        <w:t>modeling</w:t>
      </w:r>
      <w:proofErr w:type="spellEnd"/>
      <w:r>
        <w:rPr>
          <w:rFonts w:ascii="Times New Roman" w:eastAsia="DengXian" w:hAnsi="Times New Roman"/>
          <w:b/>
          <w:bCs/>
          <w:sz w:val="22"/>
          <w:szCs w:val="22"/>
        </w:rPr>
        <w:t xml:space="preserve"> option 2.</w:t>
      </w:r>
    </w:p>
    <w:p w14:paraId="0B7C7FBD" w14:textId="77777777" w:rsidR="008725D9" w:rsidRDefault="008725D9" w:rsidP="008725D9">
      <w:pPr>
        <w:rPr>
          <w:rFonts w:ascii="Times New Roman" w:hAnsi="Times New Roman"/>
          <w:b/>
          <w:bCs/>
          <w:sz w:val="22"/>
          <w:szCs w:val="22"/>
        </w:rPr>
      </w:pPr>
      <w:r>
        <w:rPr>
          <w:rFonts w:ascii="Times New Roman" w:hAnsi="Times New Roman"/>
          <w:b/>
          <w:bCs/>
          <w:sz w:val="22"/>
          <w:szCs w:val="22"/>
        </w:rPr>
        <w:t xml:space="preserve">Proposal 10: For measurement event prediction with HO </w:t>
      </w:r>
      <w:proofErr w:type="spellStart"/>
      <w:r>
        <w:rPr>
          <w:rFonts w:ascii="Times New Roman" w:hAnsi="Times New Roman"/>
          <w:b/>
          <w:bCs/>
          <w:sz w:val="22"/>
          <w:szCs w:val="22"/>
        </w:rPr>
        <w:t>modeling</w:t>
      </w:r>
      <w:proofErr w:type="spellEnd"/>
      <w:r>
        <w:rPr>
          <w:rFonts w:ascii="Times New Roman" w:hAnsi="Times New Roman"/>
          <w:b/>
          <w:bCs/>
          <w:sz w:val="22"/>
          <w:szCs w:val="22"/>
        </w:rPr>
        <w:t xml:space="preserve"> option 2, the measurement report can reuse the legacy MR to include real measurement results.</w:t>
      </w:r>
    </w:p>
    <w:p w14:paraId="6825C3D3" w14:textId="70624384" w:rsidR="00C46583" w:rsidRPr="00C46583" w:rsidRDefault="00C46583" w:rsidP="00C46583">
      <w:pPr>
        <w:pStyle w:val="Comments"/>
        <w:spacing w:before="120" w:after="120"/>
        <w:jc w:val="both"/>
        <w:rPr>
          <w:rFonts w:ascii="Times New Roman" w:eastAsiaTheme="minorEastAsia" w:hAnsi="Times New Roman"/>
          <w:b/>
          <w:bCs/>
          <w:sz w:val="22"/>
          <w:szCs w:val="22"/>
        </w:rPr>
      </w:pPr>
      <w:r>
        <w:rPr>
          <w:rFonts w:ascii="Times New Roman" w:eastAsiaTheme="minorEastAsia" w:hAnsi="Times New Roman"/>
          <w:b/>
          <w:bCs/>
          <w:i w:val="0"/>
          <w:sz w:val="22"/>
          <w:szCs w:val="22"/>
          <w:u w:val="single"/>
        </w:rPr>
        <w:t>When to perform inference:</w:t>
      </w:r>
    </w:p>
    <w:p w14:paraId="56B9EBAF" w14:textId="48407825" w:rsidR="005917B8" w:rsidRPr="00521153" w:rsidRDefault="00521153" w:rsidP="005917B8">
      <w:r>
        <w:rPr>
          <w:rFonts w:ascii="Times New Roman" w:eastAsiaTheme="minorEastAsia" w:hAnsi="Times New Roman" w:cs="Arial"/>
          <w:b/>
          <w:bCs/>
          <w:noProof/>
          <w:sz w:val="22"/>
          <w:szCs w:val="22"/>
          <w:lang w:eastAsia="zh-TW"/>
        </w:rPr>
        <w:t xml:space="preserve">Proposal 11: For RRM Temporal domain case B and frequency domain prediction, when to perform inference is up to UE implementation. </w:t>
      </w:r>
      <w:r w:rsidR="008725D9">
        <w:rPr>
          <w:rFonts w:ascii="Times New Roman" w:eastAsiaTheme="minorEastAsia" w:hAnsi="Times New Roman" w:cs="Arial"/>
          <w:b/>
          <w:bCs/>
          <w:noProof/>
          <w:sz w:val="22"/>
          <w:szCs w:val="22"/>
          <w:lang w:eastAsia="zh-TW"/>
        </w:rPr>
        <w:t xml:space="preserve">The </w:t>
      </w:r>
      <w:r>
        <w:rPr>
          <w:rFonts w:ascii="Times New Roman" w:eastAsiaTheme="minorEastAsia" w:hAnsi="Times New Roman" w:cs="Arial"/>
          <w:b/>
          <w:bCs/>
          <w:noProof/>
          <w:sz w:val="22"/>
          <w:szCs w:val="22"/>
          <w:lang w:eastAsia="zh-TW"/>
        </w:rPr>
        <w:t xml:space="preserve">UE needs to meet the report requirements determined by RAN4. </w:t>
      </w:r>
    </w:p>
    <w:p w14:paraId="59250FF3" w14:textId="77777777" w:rsidR="00666C06" w:rsidRDefault="00666C06" w:rsidP="00666C06">
      <w:pPr>
        <w:pStyle w:val="1"/>
      </w:pPr>
      <w:bookmarkStart w:id="54" w:name="OLE_LINK12"/>
      <w:r>
        <w:rPr>
          <w:rFonts w:eastAsiaTheme="minorEastAsia"/>
          <w:lang w:eastAsia="zh-TW"/>
        </w:rPr>
        <w:t>Reference</w:t>
      </w:r>
    </w:p>
    <w:bookmarkEnd w:id="14"/>
    <w:bookmarkEnd w:id="15"/>
    <w:bookmarkEnd w:id="16"/>
    <w:bookmarkEnd w:id="17"/>
    <w:bookmarkEnd w:id="18"/>
    <w:bookmarkEnd w:id="19"/>
    <w:bookmarkEnd w:id="20"/>
    <w:bookmarkEnd w:id="21"/>
    <w:bookmarkEnd w:id="22"/>
    <w:bookmarkEnd w:id="23"/>
    <w:bookmarkEnd w:id="24"/>
    <w:bookmarkEnd w:id="25"/>
    <w:bookmarkEnd w:id="26"/>
    <w:bookmarkEnd w:id="53"/>
    <w:bookmarkEnd w:id="54"/>
    <w:p w14:paraId="5A3A490A" w14:textId="496C037B" w:rsidR="00666C06" w:rsidRDefault="00666C06" w:rsidP="00666C06">
      <w:pPr>
        <w:tabs>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sz w:val="22"/>
          <w:szCs w:val="22"/>
        </w:rPr>
      </w:pPr>
    </w:p>
    <w:sectPr w:rsidR="00666C06"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4164" w14:textId="77777777" w:rsidR="00081427" w:rsidRDefault="00081427" w:rsidP="001270BA">
      <w:pPr>
        <w:spacing w:after="0"/>
      </w:pPr>
      <w:r>
        <w:separator/>
      </w:r>
    </w:p>
  </w:endnote>
  <w:endnote w:type="continuationSeparator" w:id="0">
    <w:p w14:paraId="2552CC0D" w14:textId="77777777" w:rsidR="00081427" w:rsidRDefault="00081427"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4F6D4" w14:textId="77777777" w:rsidR="00081427" w:rsidRDefault="00081427" w:rsidP="001270BA">
      <w:pPr>
        <w:spacing w:after="0"/>
      </w:pPr>
      <w:r>
        <w:separator/>
      </w:r>
    </w:p>
  </w:footnote>
  <w:footnote w:type="continuationSeparator" w:id="0">
    <w:p w14:paraId="36CE6F6F" w14:textId="77777777" w:rsidR="00081427" w:rsidRDefault="00081427"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7E9"/>
    <w:multiLevelType w:val="hybridMultilevel"/>
    <w:tmpl w:val="DCFE95D2"/>
    <w:lvl w:ilvl="0" w:tplc="04090003">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start w:val="1"/>
      <w:numFmt w:val="bullet"/>
      <w:lvlText w:val=""/>
      <w:lvlJc w:val="left"/>
      <w:pPr>
        <w:ind w:left="1872" w:hanging="480"/>
      </w:pPr>
      <w:rPr>
        <w:rFonts w:ascii="Wingdings" w:hAnsi="Wingdings" w:hint="default"/>
      </w:rPr>
    </w:lvl>
    <w:lvl w:ilvl="3" w:tplc="04090001">
      <w:start w:val="1"/>
      <w:numFmt w:val="bullet"/>
      <w:lvlText w:val=""/>
      <w:lvlJc w:val="left"/>
      <w:pPr>
        <w:ind w:left="2352" w:hanging="480"/>
      </w:pPr>
      <w:rPr>
        <w:rFonts w:ascii="Wingdings" w:hAnsi="Wingdings" w:hint="default"/>
      </w:rPr>
    </w:lvl>
    <w:lvl w:ilvl="4" w:tplc="04090003">
      <w:start w:val="1"/>
      <w:numFmt w:val="bullet"/>
      <w:lvlText w:val=""/>
      <w:lvlJc w:val="left"/>
      <w:pPr>
        <w:ind w:left="2832" w:hanging="480"/>
      </w:pPr>
      <w:rPr>
        <w:rFonts w:ascii="Wingdings" w:hAnsi="Wingdings" w:hint="default"/>
      </w:rPr>
    </w:lvl>
    <w:lvl w:ilvl="5" w:tplc="04090005">
      <w:start w:val="1"/>
      <w:numFmt w:val="bullet"/>
      <w:lvlText w:val=""/>
      <w:lvlJc w:val="left"/>
      <w:pPr>
        <w:ind w:left="3312" w:hanging="480"/>
      </w:pPr>
      <w:rPr>
        <w:rFonts w:ascii="Wingdings" w:hAnsi="Wingdings" w:hint="default"/>
      </w:rPr>
    </w:lvl>
    <w:lvl w:ilvl="6" w:tplc="04090001">
      <w:start w:val="1"/>
      <w:numFmt w:val="bullet"/>
      <w:lvlText w:val=""/>
      <w:lvlJc w:val="left"/>
      <w:pPr>
        <w:ind w:left="3792" w:hanging="480"/>
      </w:pPr>
      <w:rPr>
        <w:rFonts w:ascii="Wingdings" w:hAnsi="Wingdings" w:hint="default"/>
      </w:rPr>
    </w:lvl>
    <w:lvl w:ilvl="7" w:tplc="04090003">
      <w:start w:val="1"/>
      <w:numFmt w:val="bullet"/>
      <w:lvlText w:val=""/>
      <w:lvlJc w:val="left"/>
      <w:pPr>
        <w:ind w:left="4272" w:hanging="480"/>
      </w:pPr>
      <w:rPr>
        <w:rFonts w:ascii="Wingdings" w:hAnsi="Wingdings" w:hint="default"/>
      </w:rPr>
    </w:lvl>
    <w:lvl w:ilvl="8" w:tplc="04090005">
      <w:start w:val="1"/>
      <w:numFmt w:val="bullet"/>
      <w:lvlText w:val=""/>
      <w:lvlJc w:val="left"/>
      <w:pPr>
        <w:ind w:left="4752" w:hanging="48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1145"/>
        </w:tabs>
        <w:ind w:left="1145"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5" w15:restartNumberingAfterBreak="0">
    <w:nsid w:val="09EE298F"/>
    <w:multiLevelType w:val="hybridMultilevel"/>
    <w:tmpl w:val="36468AC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6DE0069"/>
    <w:multiLevelType w:val="hybridMultilevel"/>
    <w:tmpl w:val="03DC75E4"/>
    <w:lvl w:ilvl="0" w:tplc="0409000F">
      <w:start w:val="1"/>
      <w:numFmt w:val="decimal"/>
      <w:lvlText w:val="%1."/>
      <w:lvlJc w:val="left"/>
      <w:pPr>
        <w:ind w:left="960" w:hanging="480"/>
      </w:p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7"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19521870"/>
    <w:multiLevelType w:val="hybridMultilevel"/>
    <w:tmpl w:val="674EA3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A8573B"/>
    <w:multiLevelType w:val="hybridMultilevel"/>
    <w:tmpl w:val="67A6CEF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1EC101A2"/>
    <w:multiLevelType w:val="hybridMultilevel"/>
    <w:tmpl w:val="8496ECA4"/>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11" w15:restartNumberingAfterBreak="0">
    <w:nsid w:val="21FD11B5"/>
    <w:multiLevelType w:val="hybridMultilevel"/>
    <w:tmpl w:val="5B0C3958"/>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3" w15:restartNumberingAfterBreak="0">
    <w:nsid w:val="22984A67"/>
    <w:multiLevelType w:val="hybridMultilevel"/>
    <w:tmpl w:val="4AD2F2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A7475E"/>
    <w:multiLevelType w:val="hybridMultilevel"/>
    <w:tmpl w:val="458A3E1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3E75FF0"/>
    <w:multiLevelType w:val="hybridMultilevel"/>
    <w:tmpl w:val="16A628C8"/>
    <w:lvl w:ilvl="0" w:tplc="D59AF6A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8" w15:restartNumberingAfterBreak="0">
    <w:nsid w:val="40EF465D"/>
    <w:multiLevelType w:val="hybridMultilevel"/>
    <w:tmpl w:val="1902D0A6"/>
    <w:lvl w:ilvl="0" w:tplc="04090003">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422E2C65"/>
    <w:multiLevelType w:val="hybridMultilevel"/>
    <w:tmpl w:val="B972FCB2"/>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44884930"/>
    <w:multiLevelType w:val="hybridMultilevel"/>
    <w:tmpl w:val="168EAA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2" w15:restartNumberingAfterBreak="0">
    <w:nsid w:val="4A4D2A38"/>
    <w:multiLevelType w:val="hybridMultilevel"/>
    <w:tmpl w:val="B01213C2"/>
    <w:lvl w:ilvl="0" w:tplc="04090003">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3" w15:restartNumberingAfterBreak="0">
    <w:nsid w:val="4A876890"/>
    <w:multiLevelType w:val="hybridMultilevel"/>
    <w:tmpl w:val="53F0A7A2"/>
    <w:lvl w:ilvl="0" w:tplc="04090003">
      <w:start w:val="1"/>
      <w:numFmt w:val="bullet"/>
      <w:lvlText w:val=""/>
      <w:lvlJc w:val="left"/>
      <w:pPr>
        <w:ind w:left="840" w:hanging="360"/>
      </w:pPr>
      <w:rPr>
        <w:rFonts w:ascii="Wingdings" w:hAnsi="Wingding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4C582312"/>
    <w:multiLevelType w:val="hybridMultilevel"/>
    <w:tmpl w:val="EEB408B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4CE2514C"/>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9" w15:restartNumberingAfterBreak="0">
    <w:nsid w:val="4ECF1CC8"/>
    <w:multiLevelType w:val="hybridMultilevel"/>
    <w:tmpl w:val="899EF0E8"/>
    <w:lvl w:ilvl="0" w:tplc="787EFB84">
      <w:numFmt w:val="bullet"/>
      <w:lvlText w:val="-"/>
      <w:lvlJc w:val="left"/>
      <w:pPr>
        <w:ind w:left="840" w:hanging="360"/>
      </w:pPr>
      <w:rPr>
        <w:rFonts w:ascii="Times New Roman" w:eastAsia="DengXian"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30" w15:restartNumberingAfterBreak="0">
    <w:nsid w:val="529C71C5"/>
    <w:multiLevelType w:val="hybridMultilevel"/>
    <w:tmpl w:val="A8845B0C"/>
    <w:lvl w:ilvl="0" w:tplc="04090003">
      <w:start w:val="1"/>
      <w:numFmt w:val="bullet"/>
      <w:lvlText w:val=""/>
      <w:lvlJc w:val="left"/>
      <w:pPr>
        <w:ind w:left="840" w:hanging="360"/>
      </w:pPr>
      <w:rPr>
        <w:rFonts w:ascii="Wingdings" w:hAnsi="Wingding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1" w15:restartNumberingAfterBreak="0">
    <w:nsid w:val="54952DF4"/>
    <w:multiLevelType w:val="hybridMultilevel"/>
    <w:tmpl w:val="D46A8CFE"/>
    <w:lvl w:ilvl="0" w:tplc="6EE85058">
      <w:numFmt w:val="bullet"/>
      <w:lvlText w:val="-"/>
      <w:lvlJc w:val="left"/>
      <w:pPr>
        <w:ind w:left="840" w:hanging="360"/>
      </w:pPr>
      <w:rPr>
        <w:rFonts w:ascii="Times New Roman" w:eastAsia="DengXian"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32" w15:restartNumberingAfterBreak="0">
    <w:nsid w:val="57B5766A"/>
    <w:multiLevelType w:val="hybridMultilevel"/>
    <w:tmpl w:val="92821BC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620E47"/>
    <w:multiLevelType w:val="hybridMultilevel"/>
    <w:tmpl w:val="98068F9A"/>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322646A"/>
    <w:multiLevelType w:val="hybridMultilevel"/>
    <w:tmpl w:val="51627B82"/>
    <w:lvl w:ilvl="0" w:tplc="7F8A69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32F497B"/>
    <w:multiLevelType w:val="hybridMultilevel"/>
    <w:tmpl w:val="D76A74BC"/>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38" w15:restartNumberingAfterBreak="0">
    <w:nsid w:val="674473C1"/>
    <w:multiLevelType w:val="hybridMultilevel"/>
    <w:tmpl w:val="1AF44BA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8C22F08"/>
    <w:multiLevelType w:val="hybridMultilevel"/>
    <w:tmpl w:val="8C2CD512"/>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857EC"/>
    <w:multiLevelType w:val="hybridMultilevel"/>
    <w:tmpl w:val="62D6217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42" w15:restartNumberingAfterBreak="0">
    <w:nsid w:val="6D1B6117"/>
    <w:multiLevelType w:val="hybridMultilevel"/>
    <w:tmpl w:val="EFAC3FF6"/>
    <w:lvl w:ilvl="0" w:tplc="CF385070">
      <w:start w:val="3"/>
      <w:numFmt w:val="decimal"/>
      <w:lvlText w:val="%1"/>
      <w:lvlJc w:val="left"/>
      <w:pPr>
        <w:ind w:left="360" w:hanging="360"/>
      </w:pPr>
      <w:rPr>
        <w:rFonts w:hint="eastAsia"/>
      </w:rPr>
    </w:lvl>
    <w:lvl w:ilvl="1" w:tplc="FFFFFFFF">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44" w15:restartNumberingAfterBreak="0">
    <w:nsid w:val="746D3A08"/>
    <w:multiLevelType w:val="hybridMultilevel"/>
    <w:tmpl w:val="5A8E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066F38"/>
    <w:multiLevelType w:val="hybridMultilevel"/>
    <w:tmpl w:val="FD44BF7E"/>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num w:numId="1" w16cid:durableId="914557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43"/>
  </w:num>
  <w:num w:numId="3" w16cid:durableId="2049182031">
    <w:abstractNumId w:val="24"/>
  </w:num>
  <w:num w:numId="4" w16cid:durableId="199167846">
    <w:abstractNumId w:val="25"/>
  </w:num>
  <w:num w:numId="5" w16cid:durableId="1668166695">
    <w:abstractNumId w:val="44"/>
  </w:num>
  <w:num w:numId="6" w16cid:durableId="819346479">
    <w:abstractNumId w:val="39"/>
    <w:lvlOverride w:ilvl="0">
      <w:startOverride w:val="1"/>
    </w:lvlOverride>
    <w:lvlOverride w:ilvl="1"/>
    <w:lvlOverride w:ilvl="2"/>
    <w:lvlOverride w:ilvl="3"/>
    <w:lvlOverride w:ilvl="4"/>
    <w:lvlOverride w:ilvl="5"/>
    <w:lvlOverride w:ilvl="6"/>
    <w:lvlOverride w:ilvl="7"/>
    <w:lvlOverride w:ilvl="8"/>
  </w:num>
  <w:num w:numId="7" w16cid:durableId="1078937745">
    <w:abstractNumId w:val="21"/>
  </w:num>
  <w:num w:numId="8" w16cid:durableId="137573138">
    <w:abstractNumId w:val="15"/>
  </w:num>
  <w:num w:numId="9" w16cid:durableId="620770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5889040">
    <w:abstractNumId w:val="7"/>
  </w:num>
  <w:num w:numId="11" w16cid:durableId="2122530871">
    <w:abstractNumId w:val="27"/>
  </w:num>
  <w:num w:numId="12" w16cid:durableId="1550608047">
    <w:abstractNumId w:val="9"/>
  </w:num>
  <w:num w:numId="13" w16cid:durableId="2029939784">
    <w:abstractNumId w:val="32"/>
  </w:num>
  <w:num w:numId="14" w16cid:durableId="1523392889">
    <w:abstractNumId w:val="34"/>
  </w:num>
  <w:num w:numId="15" w16cid:durableId="778181051">
    <w:abstractNumId w:val="9"/>
  </w:num>
  <w:num w:numId="16" w16cid:durableId="1546019023">
    <w:abstractNumId w:val="12"/>
  </w:num>
  <w:num w:numId="17" w16cid:durableId="1420642196">
    <w:abstractNumId w:val="14"/>
  </w:num>
  <w:num w:numId="18" w16cid:durableId="1592860408">
    <w:abstractNumId w:val="20"/>
  </w:num>
  <w:num w:numId="19" w16cid:durableId="90468415">
    <w:abstractNumId w:val="17"/>
  </w:num>
  <w:num w:numId="20" w16cid:durableId="1865823287">
    <w:abstractNumId w:val="30"/>
  </w:num>
  <w:num w:numId="21" w16cid:durableId="852232346">
    <w:abstractNumId w:val="23"/>
  </w:num>
  <w:num w:numId="22" w16cid:durableId="425853644">
    <w:abstractNumId w:val="14"/>
  </w:num>
  <w:num w:numId="23" w16cid:durableId="327171814">
    <w:abstractNumId w:val="20"/>
  </w:num>
  <w:num w:numId="24" w16cid:durableId="858399471">
    <w:abstractNumId w:val="34"/>
  </w:num>
  <w:num w:numId="25" w16cid:durableId="516509573">
    <w:abstractNumId w:val="27"/>
  </w:num>
  <w:num w:numId="26" w16cid:durableId="258877728">
    <w:abstractNumId w:val="3"/>
  </w:num>
  <w:num w:numId="27" w16cid:durableId="1750153261">
    <w:abstractNumId w:val="12"/>
  </w:num>
  <w:num w:numId="28" w16cid:durableId="188954712">
    <w:abstractNumId w:val="14"/>
  </w:num>
  <w:num w:numId="29" w16cid:durableId="843740593">
    <w:abstractNumId w:val="9"/>
  </w:num>
  <w:num w:numId="30" w16cid:durableId="462236174">
    <w:abstractNumId w:val="43"/>
  </w:num>
  <w:num w:numId="31" w16cid:durableId="1978598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589420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90093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0814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262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9000489">
    <w:abstractNumId w:val="11"/>
  </w:num>
  <w:num w:numId="37" w16cid:durableId="277839645">
    <w:abstractNumId w:val="6"/>
    <w:lvlOverride w:ilvl="0">
      <w:startOverride w:val="1"/>
    </w:lvlOverride>
    <w:lvlOverride w:ilvl="1"/>
    <w:lvlOverride w:ilvl="2"/>
    <w:lvlOverride w:ilvl="3"/>
    <w:lvlOverride w:ilvl="4"/>
    <w:lvlOverride w:ilvl="5"/>
    <w:lvlOverride w:ilvl="6"/>
    <w:lvlOverride w:ilvl="7"/>
    <w:lvlOverride w:ilvl="8"/>
  </w:num>
  <w:num w:numId="38" w16cid:durableId="1303774194">
    <w:abstractNumId w:val="28"/>
  </w:num>
  <w:num w:numId="39" w16cid:durableId="116918736">
    <w:abstractNumId w:val="45"/>
  </w:num>
  <w:num w:numId="40" w16cid:durableId="669218552">
    <w:abstractNumId w:val="12"/>
  </w:num>
  <w:num w:numId="41" w16cid:durableId="463931707">
    <w:abstractNumId w:val="0"/>
  </w:num>
  <w:num w:numId="42" w16cid:durableId="1919972341">
    <w:abstractNumId w:val="4"/>
  </w:num>
  <w:num w:numId="43" w16cid:durableId="829831391">
    <w:abstractNumId w:val="47"/>
  </w:num>
  <w:num w:numId="44" w16cid:durableId="5317657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89947786">
    <w:abstractNumId w:val="16"/>
  </w:num>
  <w:num w:numId="46" w16cid:durableId="531648927">
    <w:abstractNumId w:val="2"/>
  </w:num>
  <w:num w:numId="47" w16cid:durableId="800999921">
    <w:abstractNumId w:val="42"/>
  </w:num>
  <w:num w:numId="48" w16cid:durableId="555819466">
    <w:abstractNumId w:val="12"/>
  </w:num>
  <w:num w:numId="49" w16cid:durableId="81030519">
    <w:abstractNumId w:val="14"/>
  </w:num>
  <w:num w:numId="50" w16cid:durableId="1372145284">
    <w:abstractNumId w:val="0"/>
  </w:num>
  <w:num w:numId="51" w16cid:durableId="2132361676">
    <w:abstractNumId w:val="12"/>
  </w:num>
  <w:num w:numId="52" w16cid:durableId="2129276580">
    <w:abstractNumId w:val="14"/>
  </w:num>
  <w:num w:numId="53" w16cid:durableId="1131629004">
    <w:abstractNumId w:val="0"/>
  </w:num>
  <w:num w:numId="54" w16cid:durableId="780034420">
    <w:abstractNumId w:val="43"/>
  </w:num>
  <w:num w:numId="55" w16cid:durableId="1174950632">
    <w:abstractNumId w:val="33"/>
    <w:lvlOverride w:ilvl="0">
      <w:startOverride w:val="1"/>
    </w:lvlOverride>
    <w:lvlOverride w:ilvl="1"/>
    <w:lvlOverride w:ilvl="2"/>
    <w:lvlOverride w:ilvl="3"/>
    <w:lvlOverride w:ilvl="4"/>
    <w:lvlOverride w:ilvl="5"/>
    <w:lvlOverride w:ilvl="6"/>
    <w:lvlOverride w:ilvl="7"/>
    <w:lvlOverride w:ilvl="8"/>
  </w:num>
  <w:num w:numId="56" w16cid:durableId="20516866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7749081">
    <w:abstractNumId w:val="8"/>
  </w:num>
  <w:num w:numId="58" w16cid:durableId="439684662">
    <w:abstractNumId w:val="40"/>
  </w:num>
  <w:num w:numId="59" w16cid:durableId="1846936514">
    <w:abstractNumId w:val="22"/>
  </w:num>
  <w:num w:numId="60" w16cid:durableId="1600674594">
    <w:abstractNumId w:val="38"/>
  </w:num>
  <w:num w:numId="61" w16cid:durableId="1513757041">
    <w:abstractNumId w:val="35"/>
  </w:num>
  <w:num w:numId="62" w16cid:durableId="1747262340">
    <w:abstractNumId w:val="19"/>
  </w:num>
  <w:num w:numId="63" w16cid:durableId="120081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7599500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1926967">
    <w:abstractNumId w:val="12"/>
  </w:num>
  <w:num w:numId="66" w16cid:durableId="1604145214">
    <w:abstractNumId w:val="14"/>
  </w:num>
  <w:num w:numId="67" w16cid:durableId="1509753614">
    <w:abstractNumId w:val="0"/>
  </w:num>
  <w:num w:numId="68" w16cid:durableId="61213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6009499">
    <w:abstractNumId w:val="12"/>
  </w:num>
  <w:num w:numId="70" w16cid:durableId="1164277660">
    <w:abstractNumId w:val="19"/>
  </w:num>
  <w:num w:numId="71" w16cid:durableId="1444032408">
    <w:abstractNumId w:val="5"/>
  </w:num>
  <w:num w:numId="72" w16cid:durableId="351613634">
    <w:abstractNumId w:val="18"/>
  </w:num>
  <w:num w:numId="73" w16cid:durableId="1615477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30292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52936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41430047">
    <w:abstractNumId w:val="18"/>
  </w:num>
  <w:num w:numId="77" w16cid:durableId="72507515">
    <w:abstractNumId w:val="41"/>
  </w:num>
  <w:num w:numId="78" w16cid:durableId="1085342340">
    <w:abstractNumId w:val="46"/>
  </w:num>
  <w:num w:numId="79" w16cid:durableId="1355114053">
    <w:abstractNumId w:val="31"/>
  </w:num>
  <w:num w:numId="80" w16cid:durableId="625893276">
    <w:abstractNumId w:val="29"/>
  </w:num>
  <w:num w:numId="81" w16cid:durableId="60562627">
    <w:abstractNumId w:val="13"/>
  </w:num>
  <w:num w:numId="82" w16cid:durableId="134760006">
    <w:abstractNumId w:val="12"/>
  </w:num>
  <w:num w:numId="83" w16cid:durableId="49368725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61A3"/>
    <w:rsid w:val="00030EE1"/>
    <w:rsid w:val="000322DE"/>
    <w:rsid w:val="0003285B"/>
    <w:rsid w:val="00032FFB"/>
    <w:rsid w:val="000330A7"/>
    <w:rsid w:val="0003333B"/>
    <w:rsid w:val="0003334D"/>
    <w:rsid w:val="000341A0"/>
    <w:rsid w:val="0003441F"/>
    <w:rsid w:val="00034B57"/>
    <w:rsid w:val="000359EB"/>
    <w:rsid w:val="000378D9"/>
    <w:rsid w:val="0004013F"/>
    <w:rsid w:val="00041171"/>
    <w:rsid w:val="000446D7"/>
    <w:rsid w:val="000455BD"/>
    <w:rsid w:val="00045654"/>
    <w:rsid w:val="000458E1"/>
    <w:rsid w:val="00047F51"/>
    <w:rsid w:val="00051E7B"/>
    <w:rsid w:val="00052217"/>
    <w:rsid w:val="00052E91"/>
    <w:rsid w:val="000530D5"/>
    <w:rsid w:val="000531D5"/>
    <w:rsid w:val="0005410D"/>
    <w:rsid w:val="0005464E"/>
    <w:rsid w:val="000617FE"/>
    <w:rsid w:val="000620AA"/>
    <w:rsid w:val="000624B0"/>
    <w:rsid w:val="00062639"/>
    <w:rsid w:val="000645C0"/>
    <w:rsid w:val="00065F88"/>
    <w:rsid w:val="000714B7"/>
    <w:rsid w:val="000771E4"/>
    <w:rsid w:val="00080429"/>
    <w:rsid w:val="00081427"/>
    <w:rsid w:val="0008305A"/>
    <w:rsid w:val="0008364B"/>
    <w:rsid w:val="00083E80"/>
    <w:rsid w:val="00086E67"/>
    <w:rsid w:val="0009028D"/>
    <w:rsid w:val="000916B1"/>
    <w:rsid w:val="00091A6F"/>
    <w:rsid w:val="00091C4F"/>
    <w:rsid w:val="000955DB"/>
    <w:rsid w:val="00096544"/>
    <w:rsid w:val="00096DBA"/>
    <w:rsid w:val="000971C0"/>
    <w:rsid w:val="000A0D3A"/>
    <w:rsid w:val="000A1D19"/>
    <w:rsid w:val="000A4376"/>
    <w:rsid w:val="000A55A2"/>
    <w:rsid w:val="000A5CBD"/>
    <w:rsid w:val="000B27D9"/>
    <w:rsid w:val="000B2D3F"/>
    <w:rsid w:val="000B529C"/>
    <w:rsid w:val="000B5EB0"/>
    <w:rsid w:val="000C09D1"/>
    <w:rsid w:val="000C2A23"/>
    <w:rsid w:val="000C2B70"/>
    <w:rsid w:val="000D051E"/>
    <w:rsid w:val="000D57BF"/>
    <w:rsid w:val="000D5D5D"/>
    <w:rsid w:val="000D7A84"/>
    <w:rsid w:val="000E02F3"/>
    <w:rsid w:val="000E0A76"/>
    <w:rsid w:val="000E0B91"/>
    <w:rsid w:val="000E0D2E"/>
    <w:rsid w:val="000E10B8"/>
    <w:rsid w:val="000E4E31"/>
    <w:rsid w:val="000E74BC"/>
    <w:rsid w:val="000F038E"/>
    <w:rsid w:val="000F0A4E"/>
    <w:rsid w:val="000F108E"/>
    <w:rsid w:val="000F5B58"/>
    <w:rsid w:val="000F61AC"/>
    <w:rsid w:val="000F65F1"/>
    <w:rsid w:val="000F75B6"/>
    <w:rsid w:val="001002BD"/>
    <w:rsid w:val="00101AFD"/>
    <w:rsid w:val="00101ED5"/>
    <w:rsid w:val="0010570A"/>
    <w:rsid w:val="0010603C"/>
    <w:rsid w:val="00106D76"/>
    <w:rsid w:val="00106DCD"/>
    <w:rsid w:val="00110A89"/>
    <w:rsid w:val="00113D1F"/>
    <w:rsid w:val="001174F2"/>
    <w:rsid w:val="00117C5E"/>
    <w:rsid w:val="001228F2"/>
    <w:rsid w:val="0012439D"/>
    <w:rsid w:val="00124B9E"/>
    <w:rsid w:val="00124FE7"/>
    <w:rsid w:val="00125669"/>
    <w:rsid w:val="00125BA6"/>
    <w:rsid w:val="001270BA"/>
    <w:rsid w:val="001312BB"/>
    <w:rsid w:val="001342D5"/>
    <w:rsid w:val="0013484F"/>
    <w:rsid w:val="001354B4"/>
    <w:rsid w:val="0013584F"/>
    <w:rsid w:val="00135B37"/>
    <w:rsid w:val="001377D4"/>
    <w:rsid w:val="0014135A"/>
    <w:rsid w:val="001430AF"/>
    <w:rsid w:val="00145068"/>
    <w:rsid w:val="0014642C"/>
    <w:rsid w:val="001464CE"/>
    <w:rsid w:val="001467DC"/>
    <w:rsid w:val="00146B68"/>
    <w:rsid w:val="00146CD6"/>
    <w:rsid w:val="001521DC"/>
    <w:rsid w:val="001536CE"/>
    <w:rsid w:val="001542C7"/>
    <w:rsid w:val="00156652"/>
    <w:rsid w:val="00157FFA"/>
    <w:rsid w:val="00160B0A"/>
    <w:rsid w:val="00162439"/>
    <w:rsid w:val="001676EB"/>
    <w:rsid w:val="00170A35"/>
    <w:rsid w:val="00170D9F"/>
    <w:rsid w:val="00171D33"/>
    <w:rsid w:val="0017526D"/>
    <w:rsid w:val="00181FCB"/>
    <w:rsid w:val="001920A4"/>
    <w:rsid w:val="001920E7"/>
    <w:rsid w:val="00194D80"/>
    <w:rsid w:val="00195515"/>
    <w:rsid w:val="0019581D"/>
    <w:rsid w:val="001A0E41"/>
    <w:rsid w:val="001A1749"/>
    <w:rsid w:val="001A1F91"/>
    <w:rsid w:val="001A3970"/>
    <w:rsid w:val="001A6B93"/>
    <w:rsid w:val="001B1FE2"/>
    <w:rsid w:val="001C0EF8"/>
    <w:rsid w:val="001C159A"/>
    <w:rsid w:val="001C5699"/>
    <w:rsid w:val="001C56C5"/>
    <w:rsid w:val="001C5DDC"/>
    <w:rsid w:val="001C626D"/>
    <w:rsid w:val="001C753D"/>
    <w:rsid w:val="001C7A2D"/>
    <w:rsid w:val="001D0346"/>
    <w:rsid w:val="001D053C"/>
    <w:rsid w:val="001D09E3"/>
    <w:rsid w:val="001D26F6"/>
    <w:rsid w:val="001D354D"/>
    <w:rsid w:val="001D552C"/>
    <w:rsid w:val="001D6B23"/>
    <w:rsid w:val="001D6D77"/>
    <w:rsid w:val="001E223A"/>
    <w:rsid w:val="001E47DD"/>
    <w:rsid w:val="001E7F22"/>
    <w:rsid w:val="001F0055"/>
    <w:rsid w:val="001F0604"/>
    <w:rsid w:val="001F1EDB"/>
    <w:rsid w:val="001F312F"/>
    <w:rsid w:val="001F35C2"/>
    <w:rsid w:val="001F3757"/>
    <w:rsid w:val="001F3C8E"/>
    <w:rsid w:val="001F4507"/>
    <w:rsid w:val="001F5536"/>
    <w:rsid w:val="001F561E"/>
    <w:rsid w:val="001F7469"/>
    <w:rsid w:val="00202015"/>
    <w:rsid w:val="0020613A"/>
    <w:rsid w:val="00206AC8"/>
    <w:rsid w:val="002076A6"/>
    <w:rsid w:val="00207DB3"/>
    <w:rsid w:val="00215AF4"/>
    <w:rsid w:val="002161CA"/>
    <w:rsid w:val="00217089"/>
    <w:rsid w:val="00217528"/>
    <w:rsid w:val="00220593"/>
    <w:rsid w:val="00220F1C"/>
    <w:rsid w:val="00220FD9"/>
    <w:rsid w:val="002215E4"/>
    <w:rsid w:val="00222AB8"/>
    <w:rsid w:val="002233DB"/>
    <w:rsid w:val="00225FCE"/>
    <w:rsid w:val="00230562"/>
    <w:rsid w:val="002327D1"/>
    <w:rsid w:val="00232C20"/>
    <w:rsid w:val="00233B23"/>
    <w:rsid w:val="0024194F"/>
    <w:rsid w:val="002434C6"/>
    <w:rsid w:val="002453C1"/>
    <w:rsid w:val="00245EE4"/>
    <w:rsid w:val="00250B87"/>
    <w:rsid w:val="00250DE4"/>
    <w:rsid w:val="0025150A"/>
    <w:rsid w:val="00251581"/>
    <w:rsid w:val="00251BEF"/>
    <w:rsid w:val="00253AAC"/>
    <w:rsid w:val="00256D7E"/>
    <w:rsid w:val="002574EE"/>
    <w:rsid w:val="00260916"/>
    <w:rsid w:val="00262141"/>
    <w:rsid w:val="00262956"/>
    <w:rsid w:val="00262CA7"/>
    <w:rsid w:val="00264D04"/>
    <w:rsid w:val="00265688"/>
    <w:rsid w:val="00266172"/>
    <w:rsid w:val="002664F5"/>
    <w:rsid w:val="00266935"/>
    <w:rsid w:val="00270D75"/>
    <w:rsid w:val="002723FC"/>
    <w:rsid w:val="00272637"/>
    <w:rsid w:val="00272C90"/>
    <w:rsid w:val="00277D18"/>
    <w:rsid w:val="00281EAC"/>
    <w:rsid w:val="00282B7F"/>
    <w:rsid w:val="00284647"/>
    <w:rsid w:val="00293C98"/>
    <w:rsid w:val="00293E89"/>
    <w:rsid w:val="00296D82"/>
    <w:rsid w:val="00297710"/>
    <w:rsid w:val="002978A5"/>
    <w:rsid w:val="00297B5F"/>
    <w:rsid w:val="002A5632"/>
    <w:rsid w:val="002A661D"/>
    <w:rsid w:val="002B0D38"/>
    <w:rsid w:val="002B2F57"/>
    <w:rsid w:val="002B5A7C"/>
    <w:rsid w:val="002B620E"/>
    <w:rsid w:val="002B6B32"/>
    <w:rsid w:val="002C114C"/>
    <w:rsid w:val="002C1EBB"/>
    <w:rsid w:val="002C5647"/>
    <w:rsid w:val="002C67BD"/>
    <w:rsid w:val="002D3802"/>
    <w:rsid w:val="002D5D0B"/>
    <w:rsid w:val="002D6E18"/>
    <w:rsid w:val="002E0181"/>
    <w:rsid w:val="002E0A69"/>
    <w:rsid w:val="002E2957"/>
    <w:rsid w:val="002E358B"/>
    <w:rsid w:val="002E39ED"/>
    <w:rsid w:val="002E3B03"/>
    <w:rsid w:val="002E4B39"/>
    <w:rsid w:val="002E5166"/>
    <w:rsid w:val="002E5394"/>
    <w:rsid w:val="002E7648"/>
    <w:rsid w:val="002F06DE"/>
    <w:rsid w:val="002F29A8"/>
    <w:rsid w:val="002F5D33"/>
    <w:rsid w:val="00301918"/>
    <w:rsid w:val="00305023"/>
    <w:rsid w:val="0030577C"/>
    <w:rsid w:val="00306A36"/>
    <w:rsid w:val="00306BDE"/>
    <w:rsid w:val="00307272"/>
    <w:rsid w:val="00307461"/>
    <w:rsid w:val="003075C3"/>
    <w:rsid w:val="00311E87"/>
    <w:rsid w:val="00312530"/>
    <w:rsid w:val="00312986"/>
    <w:rsid w:val="003140BA"/>
    <w:rsid w:val="00314993"/>
    <w:rsid w:val="00320682"/>
    <w:rsid w:val="00320C45"/>
    <w:rsid w:val="0032403D"/>
    <w:rsid w:val="0032443B"/>
    <w:rsid w:val="00327BCA"/>
    <w:rsid w:val="00327FEB"/>
    <w:rsid w:val="0033158D"/>
    <w:rsid w:val="00331A75"/>
    <w:rsid w:val="00334719"/>
    <w:rsid w:val="00336D43"/>
    <w:rsid w:val="00340DA2"/>
    <w:rsid w:val="00341AE0"/>
    <w:rsid w:val="00343189"/>
    <w:rsid w:val="0034416A"/>
    <w:rsid w:val="00345235"/>
    <w:rsid w:val="00345577"/>
    <w:rsid w:val="00347B3B"/>
    <w:rsid w:val="00350D2A"/>
    <w:rsid w:val="00351DB5"/>
    <w:rsid w:val="0035490B"/>
    <w:rsid w:val="00356DBB"/>
    <w:rsid w:val="00360FC8"/>
    <w:rsid w:val="0036293E"/>
    <w:rsid w:val="00362AC6"/>
    <w:rsid w:val="00364663"/>
    <w:rsid w:val="00370A56"/>
    <w:rsid w:val="00371099"/>
    <w:rsid w:val="00375558"/>
    <w:rsid w:val="00380E63"/>
    <w:rsid w:val="00381C1D"/>
    <w:rsid w:val="003843D4"/>
    <w:rsid w:val="00384D5F"/>
    <w:rsid w:val="00386D9F"/>
    <w:rsid w:val="003870ED"/>
    <w:rsid w:val="00391325"/>
    <w:rsid w:val="003921DD"/>
    <w:rsid w:val="00396A51"/>
    <w:rsid w:val="00397A75"/>
    <w:rsid w:val="003A32D8"/>
    <w:rsid w:val="003A52D2"/>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106E"/>
    <w:rsid w:val="003D2954"/>
    <w:rsid w:val="003D3AE3"/>
    <w:rsid w:val="003D422F"/>
    <w:rsid w:val="003D6E02"/>
    <w:rsid w:val="003D71F2"/>
    <w:rsid w:val="003D72D5"/>
    <w:rsid w:val="003D76AA"/>
    <w:rsid w:val="003E3ECD"/>
    <w:rsid w:val="003E40A6"/>
    <w:rsid w:val="003E5236"/>
    <w:rsid w:val="003F1FCA"/>
    <w:rsid w:val="003F262B"/>
    <w:rsid w:val="003F2AB0"/>
    <w:rsid w:val="003F344B"/>
    <w:rsid w:val="003F45DE"/>
    <w:rsid w:val="003F65DF"/>
    <w:rsid w:val="00401251"/>
    <w:rsid w:val="004017AF"/>
    <w:rsid w:val="00402ADF"/>
    <w:rsid w:val="00403DB9"/>
    <w:rsid w:val="0040513F"/>
    <w:rsid w:val="00414743"/>
    <w:rsid w:val="00417818"/>
    <w:rsid w:val="00424D25"/>
    <w:rsid w:val="00425609"/>
    <w:rsid w:val="00425AF4"/>
    <w:rsid w:val="004264A9"/>
    <w:rsid w:val="00426CF7"/>
    <w:rsid w:val="00427261"/>
    <w:rsid w:val="0043146A"/>
    <w:rsid w:val="00431B57"/>
    <w:rsid w:val="0043540F"/>
    <w:rsid w:val="00443B0A"/>
    <w:rsid w:val="0044481A"/>
    <w:rsid w:val="00444A17"/>
    <w:rsid w:val="0044695B"/>
    <w:rsid w:val="004479F7"/>
    <w:rsid w:val="0045062A"/>
    <w:rsid w:val="004529F6"/>
    <w:rsid w:val="0045535A"/>
    <w:rsid w:val="0046245E"/>
    <w:rsid w:val="00463F2E"/>
    <w:rsid w:val="00463FBD"/>
    <w:rsid w:val="0046418B"/>
    <w:rsid w:val="00464495"/>
    <w:rsid w:val="00464B7E"/>
    <w:rsid w:val="00466C32"/>
    <w:rsid w:val="00467347"/>
    <w:rsid w:val="00467A99"/>
    <w:rsid w:val="00467C0C"/>
    <w:rsid w:val="004724AB"/>
    <w:rsid w:val="0047702C"/>
    <w:rsid w:val="00482256"/>
    <w:rsid w:val="00482CD3"/>
    <w:rsid w:val="004851D9"/>
    <w:rsid w:val="004852AA"/>
    <w:rsid w:val="0048766F"/>
    <w:rsid w:val="0049099F"/>
    <w:rsid w:val="00492254"/>
    <w:rsid w:val="00492B6C"/>
    <w:rsid w:val="00493541"/>
    <w:rsid w:val="00493766"/>
    <w:rsid w:val="00494DF0"/>
    <w:rsid w:val="00497CA4"/>
    <w:rsid w:val="004A0FB3"/>
    <w:rsid w:val="004A594F"/>
    <w:rsid w:val="004A5CD2"/>
    <w:rsid w:val="004A70DB"/>
    <w:rsid w:val="004B3D1F"/>
    <w:rsid w:val="004B49A3"/>
    <w:rsid w:val="004B6EC9"/>
    <w:rsid w:val="004B71DE"/>
    <w:rsid w:val="004B78A6"/>
    <w:rsid w:val="004B7DB2"/>
    <w:rsid w:val="004C599E"/>
    <w:rsid w:val="004C6ED4"/>
    <w:rsid w:val="004D167D"/>
    <w:rsid w:val="004D2C62"/>
    <w:rsid w:val="004E1A50"/>
    <w:rsid w:val="004E391D"/>
    <w:rsid w:val="004E5827"/>
    <w:rsid w:val="004E6A3A"/>
    <w:rsid w:val="004F28F1"/>
    <w:rsid w:val="004F3B91"/>
    <w:rsid w:val="0050067A"/>
    <w:rsid w:val="0050154E"/>
    <w:rsid w:val="005046DC"/>
    <w:rsid w:val="00505467"/>
    <w:rsid w:val="00505EBC"/>
    <w:rsid w:val="00506280"/>
    <w:rsid w:val="0050648D"/>
    <w:rsid w:val="00514661"/>
    <w:rsid w:val="00515472"/>
    <w:rsid w:val="00520BC4"/>
    <w:rsid w:val="00521153"/>
    <w:rsid w:val="00523687"/>
    <w:rsid w:val="00524A3F"/>
    <w:rsid w:val="00524A80"/>
    <w:rsid w:val="005262F2"/>
    <w:rsid w:val="00527ACB"/>
    <w:rsid w:val="005311B0"/>
    <w:rsid w:val="0053226D"/>
    <w:rsid w:val="00532408"/>
    <w:rsid w:val="005336CC"/>
    <w:rsid w:val="00534242"/>
    <w:rsid w:val="0053592F"/>
    <w:rsid w:val="0053688E"/>
    <w:rsid w:val="00541509"/>
    <w:rsid w:val="00541896"/>
    <w:rsid w:val="00541F8F"/>
    <w:rsid w:val="00545C3A"/>
    <w:rsid w:val="005506BE"/>
    <w:rsid w:val="005513A7"/>
    <w:rsid w:val="00554DFD"/>
    <w:rsid w:val="00554EE6"/>
    <w:rsid w:val="005550D7"/>
    <w:rsid w:val="00555D4F"/>
    <w:rsid w:val="0056026D"/>
    <w:rsid w:val="005611F4"/>
    <w:rsid w:val="00561482"/>
    <w:rsid w:val="00562D22"/>
    <w:rsid w:val="00564DD0"/>
    <w:rsid w:val="0056654A"/>
    <w:rsid w:val="0056673C"/>
    <w:rsid w:val="00566DB5"/>
    <w:rsid w:val="005701D4"/>
    <w:rsid w:val="00572398"/>
    <w:rsid w:val="00572D35"/>
    <w:rsid w:val="00576520"/>
    <w:rsid w:val="00577120"/>
    <w:rsid w:val="00577C01"/>
    <w:rsid w:val="00581F1B"/>
    <w:rsid w:val="005842B4"/>
    <w:rsid w:val="00584CC5"/>
    <w:rsid w:val="00584DBA"/>
    <w:rsid w:val="005856FF"/>
    <w:rsid w:val="005858BC"/>
    <w:rsid w:val="00585FAC"/>
    <w:rsid w:val="00586C77"/>
    <w:rsid w:val="00587426"/>
    <w:rsid w:val="005910AB"/>
    <w:rsid w:val="005917B8"/>
    <w:rsid w:val="00591861"/>
    <w:rsid w:val="00592BB0"/>
    <w:rsid w:val="00592E18"/>
    <w:rsid w:val="00593412"/>
    <w:rsid w:val="00597303"/>
    <w:rsid w:val="0059797B"/>
    <w:rsid w:val="005A07E0"/>
    <w:rsid w:val="005A08A8"/>
    <w:rsid w:val="005A0BE1"/>
    <w:rsid w:val="005A2A08"/>
    <w:rsid w:val="005A49F5"/>
    <w:rsid w:val="005B0079"/>
    <w:rsid w:val="005B026D"/>
    <w:rsid w:val="005B0C6D"/>
    <w:rsid w:val="005B1A17"/>
    <w:rsid w:val="005B4B98"/>
    <w:rsid w:val="005B54AF"/>
    <w:rsid w:val="005C32DF"/>
    <w:rsid w:val="005C4B6A"/>
    <w:rsid w:val="005C5B5F"/>
    <w:rsid w:val="005C733B"/>
    <w:rsid w:val="005C7C56"/>
    <w:rsid w:val="005D1999"/>
    <w:rsid w:val="005D47A9"/>
    <w:rsid w:val="005D51D3"/>
    <w:rsid w:val="005E0E3F"/>
    <w:rsid w:val="005E2AAD"/>
    <w:rsid w:val="005E37AE"/>
    <w:rsid w:val="005E6294"/>
    <w:rsid w:val="005E6344"/>
    <w:rsid w:val="005F0B09"/>
    <w:rsid w:val="005F1840"/>
    <w:rsid w:val="005F1C7C"/>
    <w:rsid w:val="005F28DA"/>
    <w:rsid w:val="00601A58"/>
    <w:rsid w:val="006026B3"/>
    <w:rsid w:val="006077EC"/>
    <w:rsid w:val="00607E8B"/>
    <w:rsid w:val="006102C1"/>
    <w:rsid w:val="00610526"/>
    <w:rsid w:val="00610EA6"/>
    <w:rsid w:val="00612328"/>
    <w:rsid w:val="0061297E"/>
    <w:rsid w:val="00613D9B"/>
    <w:rsid w:val="00615BEA"/>
    <w:rsid w:val="00616ED0"/>
    <w:rsid w:val="00617F90"/>
    <w:rsid w:val="006242F7"/>
    <w:rsid w:val="00625BAD"/>
    <w:rsid w:val="006276E9"/>
    <w:rsid w:val="00631B67"/>
    <w:rsid w:val="006365F5"/>
    <w:rsid w:val="00636BB4"/>
    <w:rsid w:val="0064060C"/>
    <w:rsid w:val="006407FE"/>
    <w:rsid w:val="00642842"/>
    <w:rsid w:val="00642FBA"/>
    <w:rsid w:val="00645943"/>
    <w:rsid w:val="00646DF6"/>
    <w:rsid w:val="00651CDB"/>
    <w:rsid w:val="0065477C"/>
    <w:rsid w:val="00655F6F"/>
    <w:rsid w:val="006567C7"/>
    <w:rsid w:val="006573DB"/>
    <w:rsid w:val="006602A5"/>
    <w:rsid w:val="0066318B"/>
    <w:rsid w:val="00666C06"/>
    <w:rsid w:val="00666F71"/>
    <w:rsid w:val="006674A6"/>
    <w:rsid w:val="00667CAF"/>
    <w:rsid w:val="006705FC"/>
    <w:rsid w:val="00671E72"/>
    <w:rsid w:val="00673EDA"/>
    <w:rsid w:val="006752DC"/>
    <w:rsid w:val="00675EA9"/>
    <w:rsid w:val="00676275"/>
    <w:rsid w:val="006768D8"/>
    <w:rsid w:val="006779B3"/>
    <w:rsid w:val="00680407"/>
    <w:rsid w:val="00682B45"/>
    <w:rsid w:val="006840B2"/>
    <w:rsid w:val="006854B4"/>
    <w:rsid w:val="00685B4A"/>
    <w:rsid w:val="00692F0C"/>
    <w:rsid w:val="0069329C"/>
    <w:rsid w:val="00693C5B"/>
    <w:rsid w:val="0069566B"/>
    <w:rsid w:val="00697514"/>
    <w:rsid w:val="006976F0"/>
    <w:rsid w:val="00697716"/>
    <w:rsid w:val="006A06FC"/>
    <w:rsid w:val="006A1F83"/>
    <w:rsid w:val="006A49F9"/>
    <w:rsid w:val="006A5A96"/>
    <w:rsid w:val="006A6224"/>
    <w:rsid w:val="006B2566"/>
    <w:rsid w:val="006B26A4"/>
    <w:rsid w:val="006B2EBC"/>
    <w:rsid w:val="006B7C81"/>
    <w:rsid w:val="006C43D9"/>
    <w:rsid w:val="006C4CBC"/>
    <w:rsid w:val="006C6E10"/>
    <w:rsid w:val="006C6F13"/>
    <w:rsid w:val="006C7EE7"/>
    <w:rsid w:val="006D012B"/>
    <w:rsid w:val="006D0455"/>
    <w:rsid w:val="006D0918"/>
    <w:rsid w:val="006D0B85"/>
    <w:rsid w:val="006D6A99"/>
    <w:rsid w:val="006E079C"/>
    <w:rsid w:val="006E07A5"/>
    <w:rsid w:val="006E0E89"/>
    <w:rsid w:val="006E2277"/>
    <w:rsid w:val="006E6424"/>
    <w:rsid w:val="006E74C2"/>
    <w:rsid w:val="006F1E36"/>
    <w:rsid w:val="006F25E4"/>
    <w:rsid w:val="006F3646"/>
    <w:rsid w:val="006F5DCC"/>
    <w:rsid w:val="007017AD"/>
    <w:rsid w:val="00701C9B"/>
    <w:rsid w:val="00702F31"/>
    <w:rsid w:val="007038D2"/>
    <w:rsid w:val="00705557"/>
    <w:rsid w:val="0071196B"/>
    <w:rsid w:val="00712C53"/>
    <w:rsid w:val="00714DB3"/>
    <w:rsid w:val="0071593B"/>
    <w:rsid w:val="0071776D"/>
    <w:rsid w:val="0071781C"/>
    <w:rsid w:val="00720977"/>
    <w:rsid w:val="00722542"/>
    <w:rsid w:val="00723C34"/>
    <w:rsid w:val="007241C3"/>
    <w:rsid w:val="00724876"/>
    <w:rsid w:val="00726F2B"/>
    <w:rsid w:val="007347DF"/>
    <w:rsid w:val="00734E3A"/>
    <w:rsid w:val="00735EAC"/>
    <w:rsid w:val="007363B7"/>
    <w:rsid w:val="00741EDB"/>
    <w:rsid w:val="0074280E"/>
    <w:rsid w:val="00744652"/>
    <w:rsid w:val="00745F9E"/>
    <w:rsid w:val="00752EF5"/>
    <w:rsid w:val="00754778"/>
    <w:rsid w:val="00756F38"/>
    <w:rsid w:val="00757039"/>
    <w:rsid w:val="00761D95"/>
    <w:rsid w:val="00761F33"/>
    <w:rsid w:val="007626A1"/>
    <w:rsid w:val="00762A30"/>
    <w:rsid w:val="00762CCF"/>
    <w:rsid w:val="00763498"/>
    <w:rsid w:val="00764A1F"/>
    <w:rsid w:val="00764DF6"/>
    <w:rsid w:val="00765121"/>
    <w:rsid w:val="00767D61"/>
    <w:rsid w:val="007800C7"/>
    <w:rsid w:val="007806DF"/>
    <w:rsid w:val="007822FB"/>
    <w:rsid w:val="00785C59"/>
    <w:rsid w:val="00787C8F"/>
    <w:rsid w:val="00790201"/>
    <w:rsid w:val="00792A3E"/>
    <w:rsid w:val="00793889"/>
    <w:rsid w:val="00794964"/>
    <w:rsid w:val="00794C4B"/>
    <w:rsid w:val="007A17F8"/>
    <w:rsid w:val="007A2A2D"/>
    <w:rsid w:val="007A2C6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5976"/>
    <w:rsid w:val="007B6AB8"/>
    <w:rsid w:val="007B71E8"/>
    <w:rsid w:val="007B756E"/>
    <w:rsid w:val="007B79DA"/>
    <w:rsid w:val="007B7C32"/>
    <w:rsid w:val="007C0FE4"/>
    <w:rsid w:val="007C313E"/>
    <w:rsid w:val="007C4B73"/>
    <w:rsid w:val="007C56C8"/>
    <w:rsid w:val="007C58F7"/>
    <w:rsid w:val="007C683B"/>
    <w:rsid w:val="007C78D0"/>
    <w:rsid w:val="007D0E18"/>
    <w:rsid w:val="007D23B6"/>
    <w:rsid w:val="007D27C3"/>
    <w:rsid w:val="007D2F84"/>
    <w:rsid w:val="007D3B81"/>
    <w:rsid w:val="007D4F0C"/>
    <w:rsid w:val="007D6C0A"/>
    <w:rsid w:val="007E1FF0"/>
    <w:rsid w:val="007E342E"/>
    <w:rsid w:val="007E4FD9"/>
    <w:rsid w:val="007E53AE"/>
    <w:rsid w:val="007E67C8"/>
    <w:rsid w:val="007E6DDD"/>
    <w:rsid w:val="007E7804"/>
    <w:rsid w:val="007F16E2"/>
    <w:rsid w:val="007F17B2"/>
    <w:rsid w:val="007F2A92"/>
    <w:rsid w:val="007F2E49"/>
    <w:rsid w:val="007F4BD1"/>
    <w:rsid w:val="007F72AF"/>
    <w:rsid w:val="00801DF2"/>
    <w:rsid w:val="0080364A"/>
    <w:rsid w:val="0080498E"/>
    <w:rsid w:val="00806C1F"/>
    <w:rsid w:val="00811135"/>
    <w:rsid w:val="00813DB2"/>
    <w:rsid w:val="0081577A"/>
    <w:rsid w:val="00817336"/>
    <w:rsid w:val="008207B7"/>
    <w:rsid w:val="00821A32"/>
    <w:rsid w:val="00823270"/>
    <w:rsid w:val="00825BF8"/>
    <w:rsid w:val="008260D1"/>
    <w:rsid w:val="00826D02"/>
    <w:rsid w:val="00827852"/>
    <w:rsid w:val="008278E6"/>
    <w:rsid w:val="00827CA7"/>
    <w:rsid w:val="008302F0"/>
    <w:rsid w:val="00831708"/>
    <w:rsid w:val="00831F29"/>
    <w:rsid w:val="008333B0"/>
    <w:rsid w:val="00834230"/>
    <w:rsid w:val="008372E1"/>
    <w:rsid w:val="00837AFA"/>
    <w:rsid w:val="00837B42"/>
    <w:rsid w:val="00843108"/>
    <w:rsid w:val="00846426"/>
    <w:rsid w:val="008472D1"/>
    <w:rsid w:val="00847ECE"/>
    <w:rsid w:val="00851936"/>
    <w:rsid w:val="00853CA3"/>
    <w:rsid w:val="00855155"/>
    <w:rsid w:val="00860DB9"/>
    <w:rsid w:val="008613A6"/>
    <w:rsid w:val="00861925"/>
    <w:rsid w:val="008637B6"/>
    <w:rsid w:val="0086490F"/>
    <w:rsid w:val="008661C6"/>
    <w:rsid w:val="00867EE4"/>
    <w:rsid w:val="008711E9"/>
    <w:rsid w:val="008725D9"/>
    <w:rsid w:val="00872AF3"/>
    <w:rsid w:val="00873031"/>
    <w:rsid w:val="008739E9"/>
    <w:rsid w:val="00873BC8"/>
    <w:rsid w:val="00874C5B"/>
    <w:rsid w:val="0087518B"/>
    <w:rsid w:val="00875948"/>
    <w:rsid w:val="008776D4"/>
    <w:rsid w:val="008827F2"/>
    <w:rsid w:val="00883F07"/>
    <w:rsid w:val="00884603"/>
    <w:rsid w:val="00885C27"/>
    <w:rsid w:val="00891EA2"/>
    <w:rsid w:val="00893E73"/>
    <w:rsid w:val="0089446E"/>
    <w:rsid w:val="008948DC"/>
    <w:rsid w:val="00895593"/>
    <w:rsid w:val="0089588F"/>
    <w:rsid w:val="008A3230"/>
    <w:rsid w:val="008A5983"/>
    <w:rsid w:val="008A6836"/>
    <w:rsid w:val="008B0669"/>
    <w:rsid w:val="008B15CC"/>
    <w:rsid w:val="008B4B42"/>
    <w:rsid w:val="008B545C"/>
    <w:rsid w:val="008B57DD"/>
    <w:rsid w:val="008B5D57"/>
    <w:rsid w:val="008B62C7"/>
    <w:rsid w:val="008B672E"/>
    <w:rsid w:val="008B6DCF"/>
    <w:rsid w:val="008C205F"/>
    <w:rsid w:val="008C6041"/>
    <w:rsid w:val="008C6583"/>
    <w:rsid w:val="008C73B7"/>
    <w:rsid w:val="008C74CF"/>
    <w:rsid w:val="008C7BA6"/>
    <w:rsid w:val="008D0909"/>
    <w:rsid w:val="008D0D4E"/>
    <w:rsid w:val="008D4DAF"/>
    <w:rsid w:val="008D4FD1"/>
    <w:rsid w:val="008D6464"/>
    <w:rsid w:val="008D7384"/>
    <w:rsid w:val="008E008F"/>
    <w:rsid w:val="008E3D5D"/>
    <w:rsid w:val="008E4791"/>
    <w:rsid w:val="008E65C4"/>
    <w:rsid w:val="008E6FED"/>
    <w:rsid w:val="008E7AC4"/>
    <w:rsid w:val="008F0468"/>
    <w:rsid w:val="008F1019"/>
    <w:rsid w:val="008F3C1F"/>
    <w:rsid w:val="008F473B"/>
    <w:rsid w:val="008F5A3B"/>
    <w:rsid w:val="008F5B16"/>
    <w:rsid w:val="008F6270"/>
    <w:rsid w:val="008F6A3E"/>
    <w:rsid w:val="00905469"/>
    <w:rsid w:val="0091294D"/>
    <w:rsid w:val="009135B1"/>
    <w:rsid w:val="00913F11"/>
    <w:rsid w:val="00915955"/>
    <w:rsid w:val="00915A26"/>
    <w:rsid w:val="00916475"/>
    <w:rsid w:val="00916B21"/>
    <w:rsid w:val="00920CDE"/>
    <w:rsid w:val="00922982"/>
    <w:rsid w:val="0092356D"/>
    <w:rsid w:val="00931C27"/>
    <w:rsid w:val="0093234C"/>
    <w:rsid w:val="00935156"/>
    <w:rsid w:val="009363AB"/>
    <w:rsid w:val="00940231"/>
    <w:rsid w:val="009404D6"/>
    <w:rsid w:val="00941AE1"/>
    <w:rsid w:val="00941E11"/>
    <w:rsid w:val="00946977"/>
    <w:rsid w:val="00946F52"/>
    <w:rsid w:val="00950A4C"/>
    <w:rsid w:val="0095472D"/>
    <w:rsid w:val="00960B2B"/>
    <w:rsid w:val="00961004"/>
    <w:rsid w:val="00961806"/>
    <w:rsid w:val="00961EA1"/>
    <w:rsid w:val="00962EFD"/>
    <w:rsid w:val="00963D7A"/>
    <w:rsid w:val="00964E49"/>
    <w:rsid w:val="00965759"/>
    <w:rsid w:val="00970509"/>
    <w:rsid w:val="0097061B"/>
    <w:rsid w:val="00971AAC"/>
    <w:rsid w:val="009749D2"/>
    <w:rsid w:val="00974B00"/>
    <w:rsid w:val="00974BF3"/>
    <w:rsid w:val="00976B5C"/>
    <w:rsid w:val="00976D6B"/>
    <w:rsid w:val="00985D67"/>
    <w:rsid w:val="0098623A"/>
    <w:rsid w:val="00990C5E"/>
    <w:rsid w:val="00990DE4"/>
    <w:rsid w:val="00991A59"/>
    <w:rsid w:val="00993C06"/>
    <w:rsid w:val="009A0904"/>
    <w:rsid w:val="009A121A"/>
    <w:rsid w:val="009A35A9"/>
    <w:rsid w:val="009A4BEC"/>
    <w:rsid w:val="009A613D"/>
    <w:rsid w:val="009B3458"/>
    <w:rsid w:val="009B36FB"/>
    <w:rsid w:val="009B39E0"/>
    <w:rsid w:val="009B3CC7"/>
    <w:rsid w:val="009B7EB1"/>
    <w:rsid w:val="009C0C59"/>
    <w:rsid w:val="009C10B7"/>
    <w:rsid w:val="009C3B98"/>
    <w:rsid w:val="009C3BB5"/>
    <w:rsid w:val="009C6769"/>
    <w:rsid w:val="009C6FD4"/>
    <w:rsid w:val="009D0723"/>
    <w:rsid w:val="009D35B5"/>
    <w:rsid w:val="009D3641"/>
    <w:rsid w:val="009D4177"/>
    <w:rsid w:val="009D6DD2"/>
    <w:rsid w:val="009E35AC"/>
    <w:rsid w:val="009E4589"/>
    <w:rsid w:val="009E50C5"/>
    <w:rsid w:val="009E706D"/>
    <w:rsid w:val="009E7140"/>
    <w:rsid w:val="009E7277"/>
    <w:rsid w:val="009F0606"/>
    <w:rsid w:val="009F1F3A"/>
    <w:rsid w:val="009F35C8"/>
    <w:rsid w:val="009F3BF1"/>
    <w:rsid w:val="009F409B"/>
    <w:rsid w:val="009F56B1"/>
    <w:rsid w:val="009F5809"/>
    <w:rsid w:val="009F7010"/>
    <w:rsid w:val="009F709A"/>
    <w:rsid w:val="009F74EE"/>
    <w:rsid w:val="00A00516"/>
    <w:rsid w:val="00A00571"/>
    <w:rsid w:val="00A00660"/>
    <w:rsid w:val="00A02089"/>
    <w:rsid w:val="00A02C20"/>
    <w:rsid w:val="00A03943"/>
    <w:rsid w:val="00A06B4F"/>
    <w:rsid w:val="00A10D5C"/>
    <w:rsid w:val="00A11254"/>
    <w:rsid w:val="00A11856"/>
    <w:rsid w:val="00A11AD7"/>
    <w:rsid w:val="00A125AC"/>
    <w:rsid w:val="00A158FD"/>
    <w:rsid w:val="00A16870"/>
    <w:rsid w:val="00A16A34"/>
    <w:rsid w:val="00A21E45"/>
    <w:rsid w:val="00A2327D"/>
    <w:rsid w:val="00A2608E"/>
    <w:rsid w:val="00A269BA"/>
    <w:rsid w:val="00A26A05"/>
    <w:rsid w:val="00A27678"/>
    <w:rsid w:val="00A317DD"/>
    <w:rsid w:val="00A3222E"/>
    <w:rsid w:val="00A325BC"/>
    <w:rsid w:val="00A34897"/>
    <w:rsid w:val="00A3490E"/>
    <w:rsid w:val="00A365BF"/>
    <w:rsid w:val="00A40B4A"/>
    <w:rsid w:val="00A41AD1"/>
    <w:rsid w:val="00A41E8A"/>
    <w:rsid w:val="00A46126"/>
    <w:rsid w:val="00A470BC"/>
    <w:rsid w:val="00A56537"/>
    <w:rsid w:val="00A63BAC"/>
    <w:rsid w:val="00A649E6"/>
    <w:rsid w:val="00A67A6C"/>
    <w:rsid w:val="00A67B1D"/>
    <w:rsid w:val="00A7044C"/>
    <w:rsid w:val="00A70D21"/>
    <w:rsid w:val="00A716BF"/>
    <w:rsid w:val="00A7218F"/>
    <w:rsid w:val="00A76A00"/>
    <w:rsid w:val="00A777CA"/>
    <w:rsid w:val="00A810EB"/>
    <w:rsid w:val="00A81D34"/>
    <w:rsid w:val="00A8429C"/>
    <w:rsid w:val="00A95315"/>
    <w:rsid w:val="00AA2FC4"/>
    <w:rsid w:val="00AA7A1D"/>
    <w:rsid w:val="00AB0164"/>
    <w:rsid w:val="00AB55C7"/>
    <w:rsid w:val="00AB7019"/>
    <w:rsid w:val="00AC348D"/>
    <w:rsid w:val="00AC3B76"/>
    <w:rsid w:val="00AD146C"/>
    <w:rsid w:val="00AD2D32"/>
    <w:rsid w:val="00AD3077"/>
    <w:rsid w:val="00AD3080"/>
    <w:rsid w:val="00AD56E8"/>
    <w:rsid w:val="00AD6698"/>
    <w:rsid w:val="00AD7197"/>
    <w:rsid w:val="00AD749F"/>
    <w:rsid w:val="00AE2107"/>
    <w:rsid w:val="00AE4613"/>
    <w:rsid w:val="00AE5505"/>
    <w:rsid w:val="00AF159E"/>
    <w:rsid w:val="00AF3D93"/>
    <w:rsid w:val="00AF5B29"/>
    <w:rsid w:val="00AF72C5"/>
    <w:rsid w:val="00AF7FF2"/>
    <w:rsid w:val="00B0132B"/>
    <w:rsid w:val="00B01742"/>
    <w:rsid w:val="00B01961"/>
    <w:rsid w:val="00B02019"/>
    <w:rsid w:val="00B023F0"/>
    <w:rsid w:val="00B03313"/>
    <w:rsid w:val="00B079CD"/>
    <w:rsid w:val="00B07DD2"/>
    <w:rsid w:val="00B104CA"/>
    <w:rsid w:val="00B1166E"/>
    <w:rsid w:val="00B126FA"/>
    <w:rsid w:val="00B14CFF"/>
    <w:rsid w:val="00B154C2"/>
    <w:rsid w:val="00B17125"/>
    <w:rsid w:val="00B2053B"/>
    <w:rsid w:val="00B24C4C"/>
    <w:rsid w:val="00B27112"/>
    <w:rsid w:val="00B2748D"/>
    <w:rsid w:val="00B27BF2"/>
    <w:rsid w:val="00B31E86"/>
    <w:rsid w:val="00B34834"/>
    <w:rsid w:val="00B34F03"/>
    <w:rsid w:val="00B35F7F"/>
    <w:rsid w:val="00B364F4"/>
    <w:rsid w:val="00B37FE4"/>
    <w:rsid w:val="00B42024"/>
    <w:rsid w:val="00B42E8A"/>
    <w:rsid w:val="00B43289"/>
    <w:rsid w:val="00B43FB3"/>
    <w:rsid w:val="00B45B63"/>
    <w:rsid w:val="00B51B12"/>
    <w:rsid w:val="00B51F5F"/>
    <w:rsid w:val="00B533B1"/>
    <w:rsid w:val="00B5569E"/>
    <w:rsid w:val="00B56452"/>
    <w:rsid w:val="00B56DD7"/>
    <w:rsid w:val="00B62B4A"/>
    <w:rsid w:val="00B62FA7"/>
    <w:rsid w:val="00B712B8"/>
    <w:rsid w:val="00B71F4C"/>
    <w:rsid w:val="00B722B0"/>
    <w:rsid w:val="00B73E30"/>
    <w:rsid w:val="00B75B6B"/>
    <w:rsid w:val="00B81076"/>
    <w:rsid w:val="00B82788"/>
    <w:rsid w:val="00B83023"/>
    <w:rsid w:val="00B83B65"/>
    <w:rsid w:val="00B84701"/>
    <w:rsid w:val="00B87A13"/>
    <w:rsid w:val="00B9060A"/>
    <w:rsid w:val="00B90A2D"/>
    <w:rsid w:val="00B91CBE"/>
    <w:rsid w:val="00B96CAC"/>
    <w:rsid w:val="00BA2158"/>
    <w:rsid w:val="00BA3AF9"/>
    <w:rsid w:val="00BA7379"/>
    <w:rsid w:val="00BA7A57"/>
    <w:rsid w:val="00BB0E0C"/>
    <w:rsid w:val="00BB310B"/>
    <w:rsid w:val="00BB3605"/>
    <w:rsid w:val="00BB6830"/>
    <w:rsid w:val="00BC0A82"/>
    <w:rsid w:val="00BC13A6"/>
    <w:rsid w:val="00BC178E"/>
    <w:rsid w:val="00BC21E3"/>
    <w:rsid w:val="00BC47CB"/>
    <w:rsid w:val="00BC5D35"/>
    <w:rsid w:val="00BC74AE"/>
    <w:rsid w:val="00BC7518"/>
    <w:rsid w:val="00BD0405"/>
    <w:rsid w:val="00BD0BA4"/>
    <w:rsid w:val="00BD0D27"/>
    <w:rsid w:val="00BD1A97"/>
    <w:rsid w:val="00BD1EB4"/>
    <w:rsid w:val="00BD2946"/>
    <w:rsid w:val="00BD452A"/>
    <w:rsid w:val="00BD59EF"/>
    <w:rsid w:val="00BD6428"/>
    <w:rsid w:val="00BD799B"/>
    <w:rsid w:val="00BE1AA7"/>
    <w:rsid w:val="00BE2D11"/>
    <w:rsid w:val="00BE37A1"/>
    <w:rsid w:val="00BE4621"/>
    <w:rsid w:val="00BE5A66"/>
    <w:rsid w:val="00BE5B94"/>
    <w:rsid w:val="00BE61B0"/>
    <w:rsid w:val="00BE6E9C"/>
    <w:rsid w:val="00BE75F0"/>
    <w:rsid w:val="00BF1D1E"/>
    <w:rsid w:val="00BF27FC"/>
    <w:rsid w:val="00BF3F82"/>
    <w:rsid w:val="00BF4A8D"/>
    <w:rsid w:val="00BF6B13"/>
    <w:rsid w:val="00BF716C"/>
    <w:rsid w:val="00BF7C7A"/>
    <w:rsid w:val="00C04092"/>
    <w:rsid w:val="00C060C8"/>
    <w:rsid w:val="00C066A2"/>
    <w:rsid w:val="00C07449"/>
    <w:rsid w:val="00C10010"/>
    <w:rsid w:val="00C1093B"/>
    <w:rsid w:val="00C154F6"/>
    <w:rsid w:val="00C16AD4"/>
    <w:rsid w:val="00C177E9"/>
    <w:rsid w:val="00C20AC7"/>
    <w:rsid w:val="00C20EE6"/>
    <w:rsid w:val="00C21B8B"/>
    <w:rsid w:val="00C21FCE"/>
    <w:rsid w:val="00C249CC"/>
    <w:rsid w:val="00C26225"/>
    <w:rsid w:val="00C26245"/>
    <w:rsid w:val="00C27938"/>
    <w:rsid w:val="00C30725"/>
    <w:rsid w:val="00C309A8"/>
    <w:rsid w:val="00C319AF"/>
    <w:rsid w:val="00C323E3"/>
    <w:rsid w:val="00C325B9"/>
    <w:rsid w:val="00C336DB"/>
    <w:rsid w:val="00C349F4"/>
    <w:rsid w:val="00C355E2"/>
    <w:rsid w:val="00C42174"/>
    <w:rsid w:val="00C42C31"/>
    <w:rsid w:val="00C4410A"/>
    <w:rsid w:val="00C45F74"/>
    <w:rsid w:val="00C46106"/>
    <w:rsid w:val="00C46583"/>
    <w:rsid w:val="00C46E0F"/>
    <w:rsid w:val="00C46F6D"/>
    <w:rsid w:val="00C51D74"/>
    <w:rsid w:val="00C525FE"/>
    <w:rsid w:val="00C53E1F"/>
    <w:rsid w:val="00C55210"/>
    <w:rsid w:val="00C61254"/>
    <w:rsid w:val="00C62D69"/>
    <w:rsid w:val="00C64079"/>
    <w:rsid w:val="00C640A0"/>
    <w:rsid w:val="00C65842"/>
    <w:rsid w:val="00C727D2"/>
    <w:rsid w:val="00C73389"/>
    <w:rsid w:val="00C748AF"/>
    <w:rsid w:val="00C74E22"/>
    <w:rsid w:val="00C77579"/>
    <w:rsid w:val="00C77AF5"/>
    <w:rsid w:val="00C81786"/>
    <w:rsid w:val="00C83F11"/>
    <w:rsid w:val="00C8472C"/>
    <w:rsid w:val="00C86E75"/>
    <w:rsid w:val="00C86E7B"/>
    <w:rsid w:val="00C9523B"/>
    <w:rsid w:val="00C96394"/>
    <w:rsid w:val="00C964CD"/>
    <w:rsid w:val="00CA0200"/>
    <w:rsid w:val="00CA22C2"/>
    <w:rsid w:val="00CA255D"/>
    <w:rsid w:val="00CA39CF"/>
    <w:rsid w:val="00CA46E7"/>
    <w:rsid w:val="00CA4DFB"/>
    <w:rsid w:val="00CA5289"/>
    <w:rsid w:val="00CA55C5"/>
    <w:rsid w:val="00CB0AD3"/>
    <w:rsid w:val="00CB3195"/>
    <w:rsid w:val="00CB459B"/>
    <w:rsid w:val="00CB499C"/>
    <w:rsid w:val="00CB561D"/>
    <w:rsid w:val="00CC027C"/>
    <w:rsid w:val="00CC07C1"/>
    <w:rsid w:val="00CC0AEA"/>
    <w:rsid w:val="00CC2B16"/>
    <w:rsid w:val="00CC3F4E"/>
    <w:rsid w:val="00CC6024"/>
    <w:rsid w:val="00CC62A4"/>
    <w:rsid w:val="00CD210D"/>
    <w:rsid w:val="00CD25BE"/>
    <w:rsid w:val="00CE3DAD"/>
    <w:rsid w:val="00CE3E22"/>
    <w:rsid w:val="00CF2D7A"/>
    <w:rsid w:val="00CF7952"/>
    <w:rsid w:val="00D00BD9"/>
    <w:rsid w:val="00D014D6"/>
    <w:rsid w:val="00D0252C"/>
    <w:rsid w:val="00D032A4"/>
    <w:rsid w:val="00D0351A"/>
    <w:rsid w:val="00D04403"/>
    <w:rsid w:val="00D070C4"/>
    <w:rsid w:val="00D07286"/>
    <w:rsid w:val="00D07912"/>
    <w:rsid w:val="00D10508"/>
    <w:rsid w:val="00D1197A"/>
    <w:rsid w:val="00D13E8C"/>
    <w:rsid w:val="00D15679"/>
    <w:rsid w:val="00D17EAF"/>
    <w:rsid w:val="00D23845"/>
    <w:rsid w:val="00D24737"/>
    <w:rsid w:val="00D24C01"/>
    <w:rsid w:val="00D24DDD"/>
    <w:rsid w:val="00D25231"/>
    <w:rsid w:val="00D255E4"/>
    <w:rsid w:val="00D25B92"/>
    <w:rsid w:val="00D26513"/>
    <w:rsid w:val="00D27B1C"/>
    <w:rsid w:val="00D30148"/>
    <w:rsid w:val="00D30335"/>
    <w:rsid w:val="00D3041E"/>
    <w:rsid w:val="00D304C2"/>
    <w:rsid w:val="00D33C9E"/>
    <w:rsid w:val="00D3646B"/>
    <w:rsid w:val="00D3662C"/>
    <w:rsid w:val="00D36D2B"/>
    <w:rsid w:val="00D3769D"/>
    <w:rsid w:val="00D379CB"/>
    <w:rsid w:val="00D43743"/>
    <w:rsid w:val="00D4480F"/>
    <w:rsid w:val="00D45194"/>
    <w:rsid w:val="00D5158A"/>
    <w:rsid w:val="00D520B6"/>
    <w:rsid w:val="00D53200"/>
    <w:rsid w:val="00D53981"/>
    <w:rsid w:val="00D54202"/>
    <w:rsid w:val="00D559F4"/>
    <w:rsid w:val="00D56C47"/>
    <w:rsid w:val="00D571E2"/>
    <w:rsid w:val="00D574FF"/>
    <w:rsid w:val="00D63A0C"/>
    <w:rsid w:val="00D64373"/>
    <w:rsid w:val="00D66B1A"/>
    <w:rsid w:val="00D66B63"/>
    <w:rsid w:val="00D72728"/>
    <w:rsid w:val="00D72A63"/>
    <w:rsid w:val="00D72ADF"/>
    <w:rsid w:val="00D73570"/>
    <w:rsid w:val="00D7387B"/>
    <w:rsid w:val="00D73B83"/>
    <w:rsid w:val="00D755FA"/>
    <w:rsid w:val="00D760A7"/>
    <w:rsid w:val="00D810D2"/>
    <w:rsid w:val="00D816B7"/>
    <w:rsid w:val="00D83B70"/>
    <w:rsid w:val="00D8479F"/>
    <w:rsid w:val="00D85196"/>
    <w:rsid w:val="00D85B83"/>
    <w:rsid w:val="00D863AB"/>
    <w:rsid w:val="00D91C3C"/>
    <w:rsid w:val="00D926D4"/>
    <w:rsid w:val="00D953A6"/>
    <w:rsid w:val="00D97A62"/>
    <w:rsid w:val="00DA18E8"/>
    <w:rsid w:val="00DA25BB"/>
    <w:rsid w:val="00DA4E5A"/>
    <w:rsid w:val="00DA74AB"/>
    <w:rsid w:val="00DB0A9F"/>
    <w:rsid w:val="00DB22E5"/>
    <w:rsid w:val="00DB541A"/>
    <w:rsid w:val="00DB5940"/>
    <w:rsid w:val="00DB7800"/>
    <w:rsid w:val="00DC38F1"/>
    <w:rsid w:val="00DC5E5A"/>
    <w:rsid w:val="00DD1164"/>
    <w:rsid w:val="00DD2417"/>
    <w:rsid w:val="00DD32C1"/>
    <w:rsid w:val="00DD4118"/>
    <w:rsid w:val="00DD6039"/>
    <w:rsid w:val="00DD63CC"/>
    <w:rsid w:val="00DD6C7A"/>
    <w:rsid w:val="00DE131B"/>
    <w:rsid w:val="00DE1DD6"/>
    <w:rsid w:val="00DE3AED"/>
    <w:rsid w:val="00DE523D"/>
    <w:rsid w:val="00DE732B"/>
    <w:rsid w:val="00DF1EA2"/>
    <w:rsid w:val="00DF5A46"/>
    <w:rsid w:val="00DF7EC4"/>
    <w:rsid w:val="00E05ADA"/>
    <w:rsid w:val="00E06B29"/>
    <w:rsid w:val="00E10989"/>
    <w:rsid w:val="00E11B57"/>
    <w:rsid w:val="00E13B48"/>
    <w:rsid w:val="00E13E04"/>
    <w:rsid w:val="00E167B6"/>
    <w:rsid w:val="00E16C88"/>
    <w:rsid w:val="00E17246"/>
    <w:rsid w:val="00E22263"/>
    <w:rsid w:val="00E236B9"/>
    <w:rsid w:val="00E2370D"/>
    <w:rsid w:val="00E243D2"/>
    <w:rsid w:val="00E25502"/>
    <w:rsid w:val="00E27CD0"/>
    <w:rsid w:val="00E31E25"/>
    <w:rsid w:val="00E35AA2"/>
    <w:rsid w:val="00E36BA9"/>
    <w:rsid w:val="00E36E26"/>
    <w:rsid w:val="00E37A16"/>
    <w:rsid w:val="00E40FF2"/>
    <w:rsid w:val="00E41C28"/>
    <w:rsid w:val="00E42565"/>
    <w:rsid w:val="00E430A2"/>
    <w:rsid w:val="00E43714"/>
    <w:rsid w:val="00E4782D"/>
    <w:rsid w:val="00E50290"/>
    <w:rsid w:val="00E50931"/>
    <w:rsid w:val="00E51022"/>
    <w:rsid w:val="00E56E0B"/>
    <w:rsid w:val="00E607B0"/>
    <w:rsid w:val="00E6087C"/>
    <w:rsid w:val="00E60A76"/>
    <w:rsid w:val="00E6426F"/>
    <w:rsid w:val="00E6437A"/>
    <w:rsid w:val="00E65D40"/>
    <w:rsid w:val="00E66D32"/>
    <w:rsid w:val="00E712E7"/>
    <w:rsid w:val="00E71B45"/>
    <w:rsid w:val="00E73CF2"/>
    <w:rsid w:val="00E73FE7"/>
    <w:rsid w:val="00E742AF"/>
    <w:rsid w:val="00E74C22"/>
    <w:rsid w:val="00E758DE"/>
    <w:rsid w:val="00E80371"/>
    <w:rsid w:val="00E828D8"/>
    <w:rsid w:val="00E84D5D"/>
    <w:rsid w:val="00E8509E"/>
    <w:rsid w:val="00E91D5B"/>
    <w:rsid w:val="00E92027"/>
    <w:rsid w:val="00E934C0"/>
    <w:rsid w:val="00E9692D"/>
    <w:rsid w:val="00EA16AF"/>
    <w:rsid w:val="00EA3180"/>
    <w:rsid w:val="00EA44BB"/>
    <w:rsid w:val="00EA460E"/>
    <w:rsid w:val="00EB346D"/>
    <w:rsid w:val="00EB45CE"/>
    <w:rsid w:val="00EB4FB0"/>
    <w:rsid w:val="00EB5835"/>
    <w:rsid w:val="00EB7EDE"/>
    <w:rsid w:val="00EC0022"/>
    <w:rsid w:val="00EC0268"/>
    <w:rsid w:val="00EC3144"/>
    <w:rsid w:val="00EC4BF4"/>
    <w:rsid w:val="00EC7539"/>
    <w:rsid w:val="00EC79E1"/>
    <w:rsid w:val="00ED42F9"/>
    <w:rsid w:val="00ED5FD3"/>
    <w:rsid w:val="00EE0374"/>
    <w:rsid w:val="00EE108E"/>
    <w:rsid w:val="00EE1287"/>
    <w:rsid w:val="00EE17FF"/>
    <w:rsid w:val="00EE2D77"/>
    <w:rsid w:val="00EE3739"/>
    <w:rsid w:val="00EE4867"/>
    <w:rsid w:val="00EE76D8"/>
    <w:rsid w:val="00EF03D4"/>
    <w:rsid w:val="00EF3612"/>
    <w:rsid w:val="00EF474E"/>
    <w:rsid w:val="00EF4BAC"/>
    <w:rsid w:val="00EF7B3C"/>
    <w:rsid w:val="00F00346"/>
    <w:rsid w:val="00F0635F"/>
    <w:rsid w:val="00F11BB7"/>
    <w:rsid w:val="00F1364A"/>
    <w:rsid w:val="00F14B16"/>
    <w:rsid w:val="00F14D60"/>
    <w:rsid w:val="00F16A5A"/>
    <w:rsid w:val="00F220B4"/>
    <w:rsid w:val="00F24B4C"/>
    <w:rsid w:val="00F2699F"/>
    <w:rsid w:val="00F26F0C"/>
    <w:rsid w:val="00F276E5"/>
    <w:rsid w:val="00F31F1A"/>
    <w:rsid w:val="00F33AD1"/>
    <w:rsid w:val="00F36A20"/>
    <w:rsid w:val="00F37414"/>
    <w:rsid w:val="00F37436"/>
    <w:rsid w:val="00F37528"/>
    <w:rsid w:val="00F4039F"/>
    <w:rsid w:val="00F407A2"/>
    <w:rsid w:val="00F413EE"/>
    <w:rsid w:val="00F44D87"/>
    <w:rsid w:val="00F46FD7"/>
    <w:rsid w:val="00F47148"/>
    <w:rsid w:val="00F514CD"/>
    <w:rsid w:val="00F523A4"/>
    <w:rsid w:val="00F52B07"/>
    <w:rsid w:val="00F56992"/>
    <w:rsid w:val="00F60361"/>
    <w:rsid w:val="00F608BD"/>
    <w:rsid w:val="00F627E6"/>
    <w:rsid w:val="00F63B53"/>
    <w:rsid w:val="00F70CF9"/>
    <w:rsid w:val="00F71F53"/>
    <w:rsid w:val="00F740B3"/>
    <w:rsid w:val="00F745EB"/>
    <w:rsid w:val="00F7557B"/>
    <w:rsid w:val="00F770C8"/>
    <w:rsid w:val="00F833B7"/>
    <w:rsid w:val="00F834DA"/>
    <w:rsid w:val="00F856ED"/>
    <w:rsid w:val="00F856F5"/>
    <w:rsid w:val="00F91DBD"/>
    <w:rsid w:val="00F92DB0"/>
    <w:rsid w:val="00F9503F"/>
    <w:rsid w:val="00F955AA"/>
    <w:rsid w:val="00F97BAD"/>
    <w:rsid w:val="00FA116F"/>
    <w:rsid w:val="00FA3C01"/>
    <w:rsid w:val="00FA523E"/>
    <w:rsid w:val="00FA5A2E"/>
    <w:rsid w:val="00FA5F31"/>
    <w:rsid w:val="00FA6729"/>
    <w:rsid w:val="00FB10F7"/>
    <w:rsid w:val="00FB1753"/>
    <w:rsid w:val="00FB2A6F"/>
    <w:rsid w:val="00FB4538"/>
    <w:rsid w:val="00FB4A6F"/>
    <w:rsid w:val="00FB5925"/>
    <w:rsid w:val="00FC0878"/>
    <w:rsid w:val="00FC1944"/>
    <w:rsid w:val="00FC61AE"/>
    <w:rsid w:val="00FC6BC2"/>
    <w:rsid w:val="00FC737E"/>
    <w:rsid w:val="00FD2EDC"/>
    <w:rsid w:val="00FD35C3"/>
    <w:rsid w:val="00FD62A2"/>
    <w:rsid w:val="00FE2E24"/>
    <w:rsid w:val="00FE465F"/>
    <w:rsid w:val="00FE4A3B"/>
    <w:rsid w:val="00FE56F4"/>
    <w:rsid w:val="00FE7EE3"/>
    <w:rsid w:val="00FF1F89"/>
    <w:rsid w:val="00FF44B3"/>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A3935A4F-190E-4487-B217-8B087AF0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5D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semiHidden/>
    <w:unhideWhenUsed/>
    <w:qFormat/>
    <w:rsid w:val="006976F0"/>
    <w:rPr>
      <w:sz w:val="18"/>
      <w:szCs w:val="18"/>
    </w:rPr>
  </w:style>
  <w:style w:type="paragraph" w:styleId="ab">
    <w:name w:val="annotation text"/>
    <w:basedOn w:val="a"/>
    <w:link w:val="ac"/>
    <w:unhideWhenUsed/>
    <w:qFormat/>
    <w:rsid w:val="006976F0"/>
    <w:pPr>
      <w:jc w:val="left"/>
    </w:pPr>
  </w:style>
  <w:style w:type="character" w:customStyle="1" w:styleId="ac">
    <w:name w:val="批注文字 字符"/>
    <w:basedOn w:val="a0"/>
    <w:link w:val="ab"/>
    <w:qFormat/>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SGS Table Basic 1"/>
    <w:basedOn w:val="a1"/>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7278838">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3145</Words>
  <Characters>17928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3</cp:revision>
  <dcterms:created xsi:type="dcterms:W3CDTF">2025-11-07T09:46:00Z</dcterms:created>
  <dcterms:modified xsi:type="dcterms:W3CDTF">2025-11-07T09:48:00Z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